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96" w:rsidRPr="00EE643C" w:rsidRDefault="00CA4D96">
      <w:pPr>
        <w:pStyle w:val="Heading3"/>
        <w:jc w:val="left"/>
        <w:rPr>
          <w:rFonts w:ascii="Times New Roman" w:hAnsi="Times New Roman"/>
          <w:szCs w:val="24"/>
        </w:rPr>
      </w:pPr>
      <w:bookmarkStart w:id="0" w:name="_GoBack"/>
      <w:bookmarkEnd w:id="0"/>
      <w:r w:rsidRPr="00EE643C">
        <w:rPr>
          <w:rFonts w:ascii="Times New Roman" w:hAnsi="Times New Roman"/>
          <w:szCs w:val="24"/>
        </w:rPr>
        <w:t>Reporting Agency:</w:t>
      </w:r>
      <w:r w:rsidRPr="00EE643C">
        <w:rPr>
          <w:rFonts w:ascii="Times New Roman" w:hAnsi="Times New Roman"/>
          <w:szCs w:val="24"/>
        </w:rPr>
        <w:tab/>
        <w:t>United Nations Development Programme                                                                                                                                                       Country:</w:t>
      </w:r>
      <w:r w:rsidRPr="00EE643C">
        <w:rPr>
          <w:rFonts w:ascii="Times New Roman" w:hAnsi="Times New Roman"/>
          <w:szCs w:val="24"/>
        </w:rPr>
        <w:tab/>
      </w:r>
      <w:r w:rsidRPr="00EE643C">
        <w:rPr>
          <w:rFonts w:ascii="Times New Roman" w:hAnsi="Times New Roman"/>
          <w:szCs w:val="24"/>
        </w:rPr>
        <w:tab/>
      </w:r>
      <w:smartTag w:uri="urn:schemas-microsoft-com:office:smarttags" w:element="place">
        <w:smartTag w:uri="urn:schemas-microsoft-com:office:smarttags" w:element="PlaceType">
          <w:r w:rsidRPr="00EE643C">
            <w:rPr>
              <w:rFonts w:ascii="Times New Roman" w:hAnsi="Times New Roman"/>
              <w:szCs w:val="24"/>
            </w:rPr>
            <w:t>Republic</w:t>
          </w:r>
        </w:smartTag>
        <w:r w:rsidRPr="00EE643C">
          <w:rPr>
            <w:rFonts w:ascii="Times New Roman" w:hAnsi="Times New Roman"/>
            <w:szCs w:val="24"/>
          </w:rPr>
          <w:t xml:space="preserve"> of </w:t>
        </w:r>
        <w:smartTag w:uri="urn:schemas-microsoft-com:office:smarttags" w:element="PlaceName">
          <w:r w:rsidRPr="00EE643C">
            <w:rPr>
              <w:rFonts w:ascii="Times New Roman" w:hAnsi="Times New Roman"/>
              <w:szCs w:val="24"/>
            </w:rPr>
            <w:t>Armenia</w:t>
          </w:r>
        </w:smartTag>
      </w:smartTag>
    </w:p>
    <w:p w:rsidR="00CA4D96" w:rsidRPr="00EE643C" w:rsidRDefault="00CA4D96">
      <w:pPr>
        <w:pStyle w:val="Heading3"/>
        <w:rPr>
          <w:rFonts w:ascii="Times New Roman" w:hAnsi="Times New Roman"/>
          <w:b/>
          <w:bCs w:val="0"/>
          <w:szCs w:val="24"/>
        </w:rPr>
      </w:pPr>
    </w:p>
    <w:p w:rsidR="00CA4D96" w:rsidRDefault="007025E2">
      <w:pPr>
        <w:pStyle w:val="Heading3"/>
        <w:rPr>
          <w:rFonts w:ascii="Times New Roman" w:hAnsi="Times New Roman"/>
          <w:b/>
          <w:bCs w:val="0"/>
          <w:szCs w:val="24"/>
        </w:rPr>
      </w:pPr>
      <w:r w:rsidRPr="00DE5020">
        <w:rPr>
          <w:rFonts w:ascii="Times New Roman" w:hAnsi="Times New Roman"/>
          <w:b/>
          <w:bCs w:val="0"/>
          <w:szCs w:val="24"/>
        </w:rPr>
        <w:t>ANNUAL</w:t>
      </w:r>
      <w:r w:rsidR="0065390A" w:rsidRPr="00DC446C">
        <w:rPr>
          <w:rFonts w:ascii="Times New Roman" w:hAnsi="Times New Roman"/>
          <w:b/>
          <w:bCs w:val="0"/>
          <w:szCs w:val="24"/>
        </w:rPr>
        <w:t xml:space="preserve"> PROGRESS REPORT</w:t>
      </w:r>
    </w:p>
    <w:p w:rsidR="00DC446C" w:rsidRPr="00DC446C" w:rsidRDefault="00DC446C" w:rsidP="00DC446C"/>
    <w:p w:rsidR="00CA4D96" w:rsidRPr="00EE643C" w:rsidRDefault="00CA4D96">
      <w:pPr>
        <w:pStyle w:val="Heading3"/>
        <w:ind w:left="2160" w:hanging="2160"/>
        <w:jc w:val="left"/>
        <w:rPr>
          <w:rFonts w:ascii="Times New Roman" w:hAnsi="Times New Roman"/>
          <w:szCs w:val="24"/>
        </w:rPr>
      </w:pPr>
      <w:r w:rsidRPr="00EE643C">
        <w:rPr>
          <w:rFonts w:ascii="Times New Roman" w:hAnsi="Times New Roman"/>
          <w:szCs w:val="24"/>
        </w:rPr>
        <w:t>No. and title:</w:t>
      </w:r>
      <w:r w:rsidRPr="00EE643C">
        <w:rPr>
          <w:rFonts w:ascii="Times New Roman" w:hAnsi="Times New Roman"/>
          <w:szCs w:val="24"/>
        </w:rPr>
        <w:tab/>
      </w:r>
      <w:r w:rsidR="00E75D3F" w:rsidRPr="00DE5020">
        <w:rPr>
          <w:rFonts w:ascii="Times New Roman" w:hAnsi="Times New Roman"/>
          <w:szCs w:val="24"/>
        </w:rPr>
        <w:t>000910</w:t>
      </w:r>
      <w:r w:rsidR="009843FD">
        <w:rPr>
          <w:rFonts w:ascii="Times New Roman" w:hAnsi="Times New Roman"/>
          <w:szCs w:val="24"/>
        </w:rPr>
        <w:t>28ENPARD Technical Assistance, Producer Group and Value Chain Development</w:t>
      </w:r>
    </w:p>
    <w:p w:rsidR="00CA4D96" w:rsidRPr="00EE643C" w:rsidRDefault="00CA4D96">
      <w:pPr>
        <w:rPr>
          <w:szCs w:val="24"/>
        </w:rPr>
      </w:pPr>
    </w:p>
    <w:p w:rsidR="00CA4D96" w:rsidRPr="00EE643C" w:rsidRDefault="00CA4D96">
      <w:pPr>
        <w:pStyle w:val="Heading3"/>
        <w:jc w:val="left"/>
        <w:rPr>
          <w:rFonts w:ascii="Times New Roman" w:hAnsi="Times New Roman"/>
          <w:szCs w:val="24"/>
        </w:rPr>
      </w:pPr>
      <w:r w:rsidRPr="00EE643C">
        <w:rPr>
          <w:rFonts w:ascii="Times New Roman" w:hAnsi="Times New Roman"/>
          <w:szCs w:val="24"/>
        </w:rPr>
        <w:t>Reporting period</w:t>
      </w:r>
      <w:r w:rsidR="00A537A6" w:rsidRPr="00EE643C">
        <w:rPr>
          <w:rFonts w:ascii="Times New Roman" w:hAnsi="Times New Roman"/>
          <w:szCs w:val="24"/>
        </w:rPr>
        <w:t xml:space="preserve">: </w:t>
      </w:r>
      <w:r w:rsidR="00A537A6" w:rsidRPr="00EE643C">
        <w:rPr>
          <w:rFonts w:ascii="Times New Roman" w:hAnsi="Times New Roman"/>
          <w:szCs w:val="24"/>
        </w:rPr>
        <w:tab/>
        <w:t xml:space="preserve">01 January – </w:t>
      </w:r>
      <w:r w:rsidR="000E78D1">
        <w:rPr>
          <w:rFonts w:ascii="Times New Roman" w:hAnsi="Times New Roman"/>
          <w:szCs w:val="24"/>
        </w:rPr>
        <w:t>3</w:t>
      </w:r>
      <w:r w:rsidR="00326028">
        <w:rPr>
          <w:rFonts w:ascii="Times New Roman" w:hAnsi="Times New Roman"/>
          <w:szCs w:val="24"/>
        </w:rPr>
        <w:t>1</w:t>
      </w:r>
      <w:r w:rsidR="0092204E">
        <w:rPr>
          <w:rFonts w:ascii="Times New Roman" w:hAnsi="Times New Roman"/>
          <w:szCs w:val="24"/>
        </w:rPr>
        <w:t xml:space="preserve"> </w:t>
      </w:r>
      <w:r w:rsidR="00326028">
        <w:rPr>
          <w:rFonts w:ascii="Times New Roman" w:hAnsi="Times New Roman"/>
          <w:szCs w:val="24"/>
        </w:rPr>
        <w:t>December</w:t>
      </w:r>
      <w:r w:rsidR="00E22F27">
        <w:rPr>
          <w:rFonts w:ascii="Times New Roman" w:hAnsi="Times New Roman"/>
          <w:szCs w:val="24"/>
        </w:rPr>
        <w:t xml:space="preserve"> 201</w:t>
      </w:r>
      <w:r w:rsidR="007C6E3F">
        <w:rPr>
          <w:rFonts w:ascii="Times New Roman" w:hAnsi="Times New Roman"/>
          <w:szCs w:val="24"/>
        </w:rPr>
        <w:t>6</w:t>
      </w:r>
    </w:p>
    <w:p w:rsidR="00CA4D96" w:rsidRPr="00EE643C" w:rsidRDefault="00CA4D96">
      <w:pPr>
        <w:pStyle w:val="Heading3"/>
        <w:rPr>
          <w:rFonts w:ascii="Times New Roman" w:hAnsi="Times New Roman"/>
          <w:szCs w:val="24"/>
        </w:rPr>
      </w:pPr>
    </w:p>
    <w:p w:rsidR="00CA4D96" w:rsidRDefault="00CA4D96">
      <w:pPr>
        <w:rPr>
          <w:szCs w:val="24"/>
        </w:rPr>
      </w:pPr>
    </w:p>
    <w:p w:rsidR="0043364E" w:rsidRPr="00EE643C" w:rsidRDefault="00BE3F8C" w:rsidP="0043364E">
      <w:pPr>
        <w:pStyle w:val="Heading3"/>
        <w:rPr>
          <w:rFonts w:ascii="Times New Roman" w:hAnsi="Times New Roman"/>
          <w:b/>
          <w:bCs w:val="0"/>
          <w:szCs w:val="24"/>
        </w:rPr>
      </w:pPr>
      <w:r>
        <w:rPr>
          <w:rFonts w:ascii="Times New Roman" w:hAnsi="Times New Roman"/>
          <w:b/>
          <w:bCs w:val="0"/>
          <w:szCs w:val="24"/>
        </w:rPr>
        <w:t>BACKGROUND</w:t>
      </w:r>
    </w:p>
    <w:p w:rsidR="0043364E" w:rsidRDefault="0043364E">
      <w:pPr>
        <w:rPr>
          <w:szCs w:val="24"/>
        </w:rPr>
      </w:pPr>
    </w:p>
    <w:p w:rsidR="007C6E3F" w:rsidRDefault="007C6E3F" w:rsidP="007C6E3F">
      <w:pPr>
        <w:jc w:val="both"/>
      </w:pPr>
      <w:r>
        <w:t xml:space="preserve">With funding from the European Union, the European NeighbourhoodProgramme for Agriculture and Rural Development (ENPARD) supports the Ministry of Agriculture of RA in ensuring an efficient and sustainable agriculture that contributes to better living conditions in rural areas. Under ENPARD Armenia a technical assistance component focuses on producer group and value chain development. The component is implemented by UNIDO and UNDP with funding from the EU (2.4 million euro) and co-funding from the Austrian Government (1 million euro). In particular, the project aims to strengthen producer groups, effectively engage producer groups in value addition activities, strengthen value chains that provide improved access to affordable, better quality food, contribute to the development of rural areas, improve access to local and international markets, and ensure the introduction of environmentally-friendly farming and food processing practices. Direct beneficiaries of the project include agricultural producers, members of producer groups, cooperatives, as well as Armenian consumers. The project also focuses on women, youth, and other vulnerable groups. The project implementation period is 2015-2017. </w:t>
      </w:r>
    </w:p>
    <w:p w:rsidR="007C6E3F" w:rsidRDefault="007C6E3F" w:rsidP="007C6E3F">
      <w:pPr>
        <w:jc w:val="both"/>
      </w:pPr>
    </w:p>
    <w:p w:rsidR="007C6E3F" w:rsidRDefault="007C6E3F" w:rsidP="007C6E3F">
      <w:pPr>
        <w:jc w:val="both"/>
      </w:pPr>
      <w:r>
        <w:t xml:space="preserve">Detailed information about implemented activities is presented below. </w:t>
      </w:r>
    </w:p>
    <w:p w:rsidR="00DB5E37" w:rsidRDefault="00DB5E37" w:rsidP="001B0982">
      <w:pPr>
        <w:jc w:val="both"/>
      </w:pPr>
      <w:r>
        <w:t xml:space="preserve"> </w:t>
      </w:r>
    </w:p>
    <w:p w:rsidR="001B0982" w:rsidRPr="00EE643C" w:rsidRDefault="001B0982" w:rsidP="001B0982">
      <w:pPr>
        <w:jc w:val="both"/>
        <w:rPr>
          <w:szCs w:val="24"/>
        </w:rPr>
      </w:pPr>
    </w:p>
    <w:p w:rsidR="00636122" w:rsidRPr="00EE643C" w:rsidRDefault="00636122" w:rsidP="00504AB2">
      <w:pPr>
        <w:widowControl/>
        <w:ind w:left="360"/>
        <w:jc w:val="both"/>
        <w:rPr>
          <w:b/>
          <w:color w:val="365F91"/>
          <w:u w:val="single"/>
        </w:rPr>
      </w:pPr>
    </w:p>
    <w:p w:rsidR="00CA4D96" w:rsidRPr="00EE643C" w:rsidRDefault="00CA4D96">
      <w:pPr>
        <w:pStyle w:val="Heading3"/>
        <w:rPr>
          <w:rFonts w:ascii="Times New Roman" w:hAnsi="Times New Roman"/>
          <w:b/>
          <w:bCs w:val="0"/>
          <w:szCs w:val="24"/>
        </w:rPr>
      </w:pPr>
      <w:r w:rsidRPr="00EE643C">
        <w:rPr>
          <w:rFonts w:ascii="Times New Roman" w:hAnsi="Times New Roman"/>
          <w:b/>
          <w:bCs w:val="0"/>
          <w:szCs w:val="24"/>
        </w:rPr>
        <w:t>I</w:t>
      </w:r>
      <w:r w:rsidR="009E4858" w:rsidRPr="00EE643C">
        <w:rPr>
          <w:rFonts w:ascii="Times New Roman" w:hAnsi="Times New Roman"/>
          <w:b/>
          <w:bCs w:val="0"/>
          <w:szCs w:val="24"/>
        </w:rPr>
        <w:t>. RESOURCES</w:t>
      </w:r>
    </w:p>
    <w:p w:rsidR="00CA4D96" w:rsidRDefault="00CA4D96">
      <w:pPr>
        <w:jc w:val="both"/>
        <w:rPr>
          <w:b/>
          <w:szCs w:val="24"/>
        </w:rPr>
      </w:pPr>
    </w:p>
    <w:p w:rsidR="00162455" w:rsidRDefault="00162455">
      <w:pPr>
        <w:jc w:val="both"/>
        <w:rPr>
          <w:b/>
          <w:bCs/>
          <w:szCs w:val="24"/>
        </w:rPr>
      </w:pPr>
      <w:r>
        <w:rPr>
          <w:b/>
          <w:bCs/>
          <w:szCs w:val="24"/>
        </w:rPr>
        <w:t>000910</w:t>
      </w:r>
      <w:r w:rsidR="0067198E">
        <w:rPr>
          <w:b/>
          <w:bCs/>
          <w:szCs w:val="24"/>
        </w:rPr>
        <w:t>28</w:t>
      </w:r>
      <w:r w:rsidR="007C6E3F">
        <w:rPr>
          <w:b/>
          <w:bCs/>
          <w:szCs w:val="24"/>
        </w:rPr>
        <w:t xml:space="preserve"> / </w:t>
      </w:r>
      <w:r w:rsidR="00471808">
        <w:rPr>
          <w:b/>
          <w:bCs/>
          <w:szCs w:val="24"/>
        </w:rPr>
        <w:t xml:space="preserve">ENPARD </w:t>
      </w:r>
      <w:r w:rsidR="0067198E">
        <w:rPr>
          <w:b/>
          <w:bCs/>
          <w:szCs w:val="24"/>
        </w:rPr>
        <w:t xml:space="preserve">Producer Group and Value </w:t>
      </w:r>
      <w:r w:rsidR="0067198E">
        <w:rPr>
          <w:b/>
          <w:bCs/>
          <w:szCs w:val="24"/>
        </w:rPr>
        <w:lastRenderedPageBreak/>
        <w:t>Chain Develo</w:t>
      </w:r>
      <w:r w:rsidR="00471808">
        <w:rPr>
          <w:b/>
          <w:bCs/>
          <w:szCs w:val="24"/>
        </w:rPr>
        <w:t>p</w:t>
      </w:r>
      <w:r w:rsidR="0067198E">
        <w:rPr>
          <w:b/>
          <w:bCs/>
          <w:szCs w:val="24"/>
        </w:rPr>
        <w:t xml:space="preserve">ment </w:t>
      </w:r>
    </w:p>
    <w:p w:rsidR="007C6E3F" w:rsidRDefault="007C6E3F" w:rsidP="007C6E3F">
      <w:pPr>
        <w:jc w:val="both"/>
        <w:rPr>
          <w:b/>
          <w:szCs w:val="24"/>
        </w:rPr>
      </w:pPr>
    </w:p>
    <w:p w:rsidR="007C6E3F" w:rsidRDefault="007C6E3F" w:rsidP="007C6E3F">
      <w:pPr>
        <w:jc w:val="both"/>
        <w:rPr>
          <w:b/>
          <w:szCs w:val="24"/>
        </w:rPr>
      </w:pPr>
      <w:r w:rsidRPr="00AF2245">
        <w:rPr>
          <w:b/>
          <w:szCs w:val="24"/>
        </w:rPr>
        <w:t>Total Approved Budget</w:t>
      </w:r>
      <w:r>
        <w:rPr>
          <w:b/>
          <w:szCs w:val="24"/>
        </w:rPr>
        <w:t xml:space="preserve"> for 2016</w:t>
      </w:r>
      <w:r w:rsidRPr="00AF2245">
        <w:rPr>
          <w:b/>
          <w:szCs w:val="24"/>
        </w:rPr>
        <w:t>: USD</w:t>
      </w:r>
      <w:r>
        <w:rPr>
          <w:b/>
          <w:szCs w:val="24"/>
        </w:rPr>
        <w:t xml:space="preserve"> 1,105</w:t>
      </w:r>
      <w:r w:rsidRPr="00162455">
        <w:rPr>
          <w:b/>
          <w:szCs w:val="24"/>
        </w:rPr>
        <w:t>,</w:t>
      </w:r>
      <w:r>
        <w:rPr>
          <w:b/>
          <w:szCs w:val="24"/>
        </w:rPr>
        <w:t>160</w:t>
      </w:r>
    </w:p>
    <w:p w:rsidR="007C6E3F" w:rsidRDefault="007C6E3F" w:rsidP="007C6E3F">
      <w:pPr>
        <w:jc w:val="both"/>
        <w:rPr>
          <w:bCs/>
          <w:szCs w:val="24"/>
        </w:rPr>
      </w:pPr>
      <w:r>
        <w:rPr>
          <w:bCs/>
          <w:szCs w:val="24"/>
        </w:rPr>
        <w:t xml:space="preserve">European Union: </w:t>
      </w:r>
      <w:r>
        <w:rPr>
          <w:bCs/>
          <w:szCs w:val="24"/>
        </w:rPr>
        <w:tab/>
      </w:r>
      <w:r>
        <w:rPr>
          <w:bCs/>
          <w:szCs w:val="24"/>
        </w:rPr>
        <w:tab/>
        <w:t>USD 742,398</w:t>
      </w:r>
    </w:p>
    <w:p w:rsidR="007C6E3F" w:rsidRPr="00DE5EF9" w:rsidRDefault="007C6E3F" w:rsidP="007C6E3F">
      <w:pPr>
        <w:jc w:val="both"/>
        <w:rPr>
          <w:b/>
          <w:bCs/>
          <w:szCs w:val="24"/>
        </w:rPr>
      </w:pPr>
      <w:r>
        <w:rPr>
          <w:bCs/>
          <w:szCs w:val="24"/>
        </w:rPr>
        <w:t>Austrian Development Agency: USD 362,762</w:t>
      </w:r>
    </w:p>
    <w:p w:rsidR="00CA4D96" w:rsidRPr="00EE643C" w:rsidRDefault="00CA4D96">
      <w:pPr>
        <w:jc w:val="both"/>
        <w:rPr>
          <w:szCs w:val="24"/>
        </w:rPr>
      </w:pPr>
      <w:r w:rsidRPr="00EE643C">
        <w:rPr>
          <w:bCs/>
          <w:szCs w:val="24"/>
        </w:rPr>
        <w:tab/>
      </w:r>
      <w:r w:rsidRPr="00EE643C">
        <w:rPr>
          <w:szCs w:val="24"/>
        </w:rPr>
        <w:tab/>
      </w:r>
      <w:r w:rsidRPr="00EE643C">
        <w:rPr>
          <w:szCs w:val="24"/>
        </w:rPr>
        <w:tab/>
      </w:r>
      <w:r w:rsidRPr="00EE643C">
        <w:rPr>
          <w:bCs/>
          <w:szCs w:val="24"/>
        </w:rPr>
        <w:tab/>
      </w:r>
    </w:p>
    <w:p w:rsidR="00CA4D96" w:rsidRPr="00EE643C" w:rsidRDefault="00CA4D96">
      <w:pPr>
        <w:pStyle w:val="Heading3"/>
        <w:rPr>
          <w:rFonts w:ascii="Times New Roman" w:hAnsi="Times New Roman"/>
          <w:b/>
          <w:bCs w:val="0"/>
          <w:szCs w:val="24"/>
        </w:rPr>
      </w:pPr>
      <w:r w:rsidRPr="00EE643C">
        <w:rPr>
          <w:rFonts w:ascii="Times New Roman" w:hAnsi="Times New Roman"/>
          <w:b/>
          <w:bCs w:val="0"/>
          <w:szCs w:val="24"/>
        </w:rPr>
        <w:t>II</w:t>
      </w:r>
      <w:r w:rsidR="0083665E" w:rsidRPr="00EE643C">
        <w:rPr>
          <w:rFonts w:ascii="Times New Roman" w:hAnsi="Times New Roman"/>
          <w:b/>
          <w:bCs w:val="0"/>
          <w:szCs w:val="24"/>
        </w:rPr>
        <w:t>. RESULTS</w:t>
      </w:r>
    </w:p>
    <w:p w:rsidR="00C9443A" w:rsidRDefault="00C9443A">
      <w:pPr>
        <w:jc w:val="both"/>
        <w:rPr>
          <w:b/>
          <w:szCs w:val="24"/>
        </w:rPr>
      </w:pPr>
    </w:p>
    <w:p w:rsidR="00CA4D96" w:rsidRDefault="00CA4D96">
      <w:pPr>
        <w:pStyle w:val="Heading2"/>
        <w:rPr>
          <w:rFonts w:ascii="Times New Roman" w:hAnsi="Times New Roman" w:cs="Times New Roman"/>
          <w:color w:val="auto"/>
          <w:sz w:val="24"/>
          <w:szCs w:val="24"/>
        </w:rPr>
      </w:pPr>
      <w:r w:rsidRPr="00C9443A">
        <w:rPr>
          <w:rFonts w:ascii="Times New Roman" w:hAnsi="Times New Roman" w:cs="Times New Roman"/>
          <w:color w:val="auto"/>
          <w:sz w:val="24"/>
          <w:szCs w:val="24"/>
        </w:rPr>
        <w:t>Main activities impl</w:t>
      </w:r>
      <w:r w:rsidR="009665D4" w:rsidRPr="00C9443A">
        <w:rPr>
          <w:rFonts w:ascii="Times New Roman" w:hAnsi="Times New Roman" w:cs="Times New Roman"/>
          <w:color w:val="auto"/>
          <w:sz w:val="24"/>
          <w:szCs w:val="24"/>
        </w:rPr>
        <w:t>emented and achievements</w:t>
      </w:r>
      <w:r w:rsidR="002E2B58" w:rsidRPr="00C9443A">
        <w:rPr>
          <w:rFonts w:ascii="Times New Roman" w:hAnsi="Times New Roman" w:cs="Times New Roman"/>
          <w:color w:val="auto"/>
          <w:sz w:val="24"/>
          <w:szCs w:val="24"/>
        </w:rPr>
        <w:t xml:space="preserve"> as of </w:t>
      </w:r>
      <w:r w:rsidR="00C669D2">
        <w:rPr>
          <w:rFonts w:ascii="Times New Roman" w:hAnsi="Times New Roman" w:cs="Times New Roman"/>
          <w:color w:val="auto"/>
          <w:sz w:val="24"/>
          <w:szCs w:val="24"/>
        </w:rPr>
        <w:t>December</w:t>
      </w:r>
      <w:r w:rsidR="007C6E3F">
        <w:rPr>
          <w:rFonts w:ascii="Times New Roman" w:hAnsi="Times New Roman" w:cs="Times New Roman"/>
          <w:color w:val="auto"/>
          <w:sz w:val="24"/>
          <w:szCs w:val="24"/>
        </w:rPr>
        <w:t xml:space="preserve"> </w:t>
      </w:r>
      <w:r w:rsidR="002E2B58" w:rsidRPr="00C9443A">
        <w:rPr>
          <w:rFonts w:ascii="Times New Roman" w:hAnsi="Times New Roman" w:cs="Times New Roman"/>
          <w:color w:val="auto"/>
          <w:sz w:val="24"/>
          <w:szCs w:val="24"/>
        </w:rPr>
        <w:t>20</w:t>
      </w:r>
      <w:r w:rsidR="00C9443A">
        <w:rPr>
          <w:rFonts w:ascii="Times New Roman" w:hAnsi="Times New Roman" w:cs="Times New Roman"/>
          <w:color w:val="auto"/>
          <w:sz w:val="24"/>
          <w:szCs w:val="24"/>
        </w:rPr>
        <w:t>1</w:t>
      </w:r>
      <w:r w:rsidR="007C6E3F">
        <w:rPr>
          <w:rFonts w:ascii="Times New Roman" w:hAnsi="Times New Roman" w:cs="Times New Roman"/>
          <w:color w:val="auto"/>
          <w:sz w:val="24"/>
          <w:szCs w:val="24"/>
        </w:rPr>
        <w:t>6</w:t>
      </w:r>
    </w:p>
    <w:p w:rsidR="00BD463C" w:rsidRPr="00BD463C" w:rsidRDefault="00BD463C" w:rsidP="00BD463C"/>
    <w:p w:rsidR="00C07A21" w:rsidRDefault="007C6E3F" w:rsidP="00C07A21">
      <w:pPr>
        <w:jc w:val="both"/>
        <w:rPr>
          <w:szCs w:val="24"/>
        </w:rPr>
      </w:pPr>
      <w:r>
        <w:rPr>
          <w:szCs w:val="24"/>
        </w:rPr>
        <w:t xml:space="preserve">Most of the </w:t>
      </w:r>
      <w:r w:rsidR="009622F2">
        <w:rPr>
          <w:szCs w:val="24"/>
        </w:rPr>
        <w:t>f</w:t>
      </w:r>
      <w:r w:rsidR="00C07A21" w:rsidRPr="00EE643C">
        <w:rPr>
          <w:szCs w:val="24"/>
        </w:rPr>
        <w:t xml:space="preserve">oreseen activities </w:t>
      </w:r>
      <w:r w:rsidR="00051569">
        <w:rPr>
          <w:szCs w:val="24"/>
        </w:rPr>
        <w:t xml:space="preserve">are </w:t>
      </w:r>
      <w:r>
        <w:rPr>
          <w:szCs w:val="24"/>
        </w:rPr>
        <w:t>completed</w:t>
      </w:r>
      <w:r w:rsidR="00051569">
        <w:rPr>
          <w:szCs w:val="24"/>
        </w:rPr>
        <w:t xml:space="preserve"> or</w:t>
      </w:r>
      <w:r>
        <w:rPr>
          <w:szCs w:val="24"/>
        </w:rPr>
        <w:t xml:space="preserve"> close to completion. </w:t>
      </w:r>
      <w:r w:rsidR="00C07A21" w:rsidRPr="00EE643C">
        <w:rPr>
          <w:szCs w:val="24"/>
        </w:rPr>
        <w:t xml:space="preserve">Detailed information related to the actually implemented </w:t>
      </w:r>
      <w:r w:rsidR="00237F56">
        <w:rPr>
          <w:szCs w:val="24"/>
        </w:rPr>
        <w:t xml:space="preserve">and planned </w:t>
      </w:r>
      <w:r w:rsidR="00C07A21" w:rsidRPr="00EE643C">
        <w:rPr>
          <w:szCs w:val="24"/>
        </w:rPr>
        <w:t>activities</w:t>
      </w:r>
      <w:r w:rsidR="00237F56">
        <w:rPr>
          <w:szCs w:val="24"/>
        </w:rPr>
        <w:t xml:space="preserve"> as well as</w:t>
      </w:r>
      <w:r w:rsidR="00C07A21" w:rsidRPr="00EE643C">
        <w:rPr>
          <w:szCs w:val="24"/>
        </w:rPr>
        <w:t xml:space="preserve"> achieved results as per </w:t>
      </w:r>
      <w:r w:rsidR="00C669D2">
        <w:rPr>
          <w:szCs w:val="24"/>
        </w:rPr>
        <w:t>December</w:t>
      </w:r>
      <w:r>
        <w:rPr>
          <w:szCs w:val="24"/>
        </w:rPr>
        <w:t xml:space="preserve"> </w:t>
      </w:r>
      <w:r w:rsidR="00C07A21" w:rsidRPr="00EE643C">
        <w:rPr>
          <w:szCs w:val="24"/>
        </w:rPr>
        <w:t>201</w:t>
      </w:r>
      <w:r>
        <w:rPr>
          <w:szCs w:val="24"/>
        </w:rPr>
        <w:t>6</w:t>
      </w:r>
      <w:r w:rsidR="00C07A21" w:rsidRPr="00EE643C">
        <w:rPr>
          <w:szCs w:val="24"/>
        </w:rPr>
        <w:t xml:space="preserve"> are shown below.</w:t>
      </w:r>
    </w:p>
    <w:p w:rsidR="00AA4794" w:rsidRDefault="00AA4794">
      <w:pPr>
        <w:jc w:val="both"/>
        <w:rPr>
          <w:szCs w:val="24"/>
        </w:rPr>
      </w:pPr>
    </w:p>
    <w:p w:rsidR="00E064AE" w:rsidRDefault="00E064AE">
      <w:pPr>
        <w:jc w:val="both"/>
        <w:rPr>
          <w:szCs w:val="24"/>
        </w:rPr>
      </w:pPr>
    </w:p>
    <w:p w:rsidR="00E064AE" w:rsidRDefault="00E064AE">
      <w:pPr>
        <w:jc w:val="both"/>
        <w:rPr>
          <w:szCs w:val="24"/>
        </w:rPr>
      </w:pPr>
    </w:p>
    <w:p w:rsidR="00E064AE" w:rsidRDefault="00E064AE">
      <w:pPr>
        <w:jc w:val="both"/>
        <w:rPr>
          <w:szCs w:val="24"/>
        </w:rPr>
      </w:pPr>
    </w:p>
    <w:p w:rsidR="00C60AFB" w:rsidRDefault="00C60AFB" w:rsidP="00C60AFB">
      <w:pPr>
        <w:jc w:val="both"/>
        <w:rPr>
          <w:b/>
          <w:szCs w:val="24"/>
        </w:rPr>
      </w:pPr>
      <w:r w:rsidRPr="00EE643C">
        <w:rPr>
          <w:b/>
          <w:szCs w:val="24"/>
        </w:rPr>
        <w:t>Results:</w:t>
      </w:r>
    </w:p>
    <w:p w:rsidR="00237F56" w:rsidRDefault="00237F56" w:rsidP="00C60AFB">
      <w:pPr>
        <w:jc w:val="both"/>
        <w:rPr>
          <w:b/>
          <w:szCs w:val="24"/>
        </w:rPr>
      </w:pPr>
    </w:p>
    <w:p w:rsidR="007C6E3F" w:rsidRDefault="007C6E3F" w:rsidP="007C6E3F">
      <w:pPr>
        <w:jc w:val="both"/>
        <w:rPr>
          <w:b/>
          <w:i/>
          <w:szCs w:val="24"/>
          <w:u w:val="single"/>
        </w:rPr>
      </w:pPr>
      <w:r>
        <w:rPr>
          <w:b/>
          <w:i/>
          <w:szCs w:val="24"/>
          <w:u w:val="single"/>
        </w:rPr>
        <w:t>Finalization of producer groups</w:t>
      </w:r>
    </w:p>
    <w:p w:rsidR="007C6E3F" w:rsidRDefault="007C6E3F" w:rsidP="0051405D">
      <w:pPr>
        <w:jc w:val="both"/>
      </w:pPr>
      <w:r>
        <w:t>While the selection of producer groups was largely completed in 2015, the final portfolio of groups was adjusted during the first half of 2016. Changes occurred primarily as a result of the unwillingness of some groups to participate in co-financing of project activities. The final selection of groups is shown in the table below.</w:t>
      </w:r>
    </w:p>
    <w:p w:rsidR="007C6E3F" w:rsidRDefault="007C6E3F" w:rsidP="007C6E3F">
      <w:pPr>
        <w:jc w:val="both"/>
        <w:rPr>
          <w:b/>
          <w:i/>
          <w:szCs w:val="24"/>
          <w:u w:val="single"/>
        </w:rPr>
      </w:pPr>
    </w:p>
    <w:tbl>
      <w:tblPr>
        <w:tblStyle w:val="LightGrid"/>
        <w:tblW w:w="0" w:type="auto"/>
        <w:tblInd w:w="108" w:type="dxa"/>
        <w:tblLayout w:type="fixed"/>
        <w:tblLook w:val="04A0" w:firstRow="1" w:lastRow="0" w:firstColumn="1" w:lastColumn="0" w:noHBand="0" w:noVBand="1"/>
      </w:tblPr>
      <w:tblGrid>
        <w:gridCol w:w="1412"/>
        <w:gridCol w:w="1468"/>
        <w:gridCol w:w="1440"/>
        <w:gridCol w:w="1260"/>
        <w:gridCol w:w="1260"/>
        <w:gridCol w:w="1260"/>
        <w:gridCol w:w="1080"/>
      </w:tblGrid>
      <w:tr w:rsidR="007C6E3F" w:rsidRPr="00C217F2" w:rsidTr="00C217F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2" w:type="dxa"/>
            <w:vMerge w:val="restart"/>
            <w:noWrap/>
            <w:hideMark/>
          </w:tcPr>
          <w:p w:rsidR="007C6E3F" w:rsidRPr="00C217F2" w:rsidRDefault="007C6E3F" w:rsidP="00A20E39">
            <w:pPr>
              <w:pStyle w:val="NoSpacing"/>
              <w:rPr>
                <w:rFonts w:ascii="Times New Roman" w:hAnsi="Times New Roman" w:cs="Times New Roman"/>
                <w:b w:val="0"/>
                <w:sz w:val="22"/>
                <w:szCs w:val="22"/>
              </w:rPr>
            </w:pPr>
            <w:r w:rsidRPr="00C217F2">
              <w:rPr>
                <w:rFonts w:ascii="Times New Roman" w:hAnsi="Times New Roman" w:cs="Times New Roman"/>
                <w:b w:val="0"/>
                <w:sz w:val="22"/>
                <w:szCs w:val="22"/>
              </w:rPr>
              <w:t>Marz</w:t>
            </w:r>
          </w:p>
        </w:tc>
        <w:tc>
          <w:tcPr>
            <w:tcW w:w="7768" w:type="dxa"/>
            <w:gridSpan w:val="6"/>
            <w:noWrap/>
            <w:hideMark/>
          </w:tcPr>
          <w:p w:rsidR="007C6E3F" w:rsidRPr="00C217F2" w:rsidRDefault="007C6E3F" w:rsidP="007C6E3F">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r w:rsidRPr="00C217F2">
              <w:rPr>
                <w:rFonts w:ascii="Times New Roman" w:hAnsi="Times New Roman" w:cs="Times New Roman"/>
                <w:b w:val="0"/>
                <w:sz w:val="22"/>
                <w:szCs w:val="22"/>
              </w:rPr>
              <w:t>Value chains</w:t>
            </w:r>
          </w:p>
        </w:tc>
      </w:tr>
      <w:tr w:rsidR="007C6E3F" w:rsidRPr="00C217F2" w:rsidTr="00C217F2">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412" w:type="dxa"/>
            <w:vMerge/>
            <w:hideMark/>
          </w:tcPr>
          <w:p w:rsidR="007C6E3F" w:rsidRPr="00C217F2" w:rsidRDefault="007C6E3F" w:rsidP="00A20E39">
            <w:pPr>
              <w:pStyle w:val="NoSpacing"/>
              <w:rPr>
                <w:rFonts w:ascii="Times New Roman" w:hAnsi="Times New Roman" w:cs="Times New Roman"/>
                <w:b w:val="0"/>
                <w:sz w:val="22"/>
                <w:szCs w:val="22"/>
              </w:rPr>
            </w:pPr>
          </w:p>
        </w:tc>
        <w:tc>
          <w:tcPr>
            <w:tcW w:w="1468" w:type="dxa"/>
            <w:hideMark/>
          </w:tcPr>
          <w:p w:rsidR="007C6E3F" w:rsidRPr="00C217F2" w:rsidRDefault="007C6E3F" w:rsidP="007C6E3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C217F2">
              <w:rPr>
                <w:rFonts w:ascii="Times New Roman" w:hAnsi="Times New Roman"/>
                <w:b/>
                <w:sz w:val="22"/>
                <w:szCs w:val="22"/>
              </w:rPr>
              <w:t>Buckwheat production</w:t>
            </w:r>
          </w:p>
        </w:tc>
        <w:tc>
          <w:tcPr>
            <w:tcW w:w="1440" w:type="dxa"/>
            <w:hideMark/>
          </w:tcPr>
          <w:p w:rsidR="007C6E3F" w:rsidRPr="00C217F2" w:rsidRDefault="007C6E3F" w:rsidP="00A20E3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C217F2">
              <w:rPr>
                <w:rFonts w:ascii="Times New Roman" w:hAnsi="Times New Roman"/>
                <w:b/>
                <w:sz w:val="22"/>
                <w:szCs w:val="22"/>
              </w:rPr>
              <w:t>Buckwheat processing</w:t>
            </w:r>
          </w:p>
        </w:tc>
        <w:tc>
          <w:tcPr>
            <w:tcW w:w="1260" w:type="dxa"/>
            <w:hideMark/>
          </w:tcPr>
          <w:p w:rsidR="007C6E3F" w:rsidRPr="00C217F2" w:rsidRDefault="007C6E3F" w:rsidP="00A20E3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C217F2">
              <w:rPr>
                <w:rFonts w:ascii="Times New Roman" w:hAnsi="Times New Roman"/>
                <w:b/>
                <w:sz w:val="22"/>
                <w:szCs w:val="22"/>
              </w:rPr>
              <w:t>High value cheese</w:t>
            </w:r>
          </w:p>
        </w:tc>
        <w:tc>
          <w:tcPr>
            <w:tcW w:w="1260" w:type="dxa"/>
            <w:hideMark/>
          </w:tcPr>
          <w:p w:rsidR="007C6E3F" w:rsidRPr="00C217F2" w:rsidRDefault="007C6E3F" w:rsidP="00A20E3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C217F2">
              <w:rPr>
                <w:rFonts w:ascii="Times New Roman" w:hAnsi="Times New Roman"/>
                <w:b/>
                <w:sz w:val="22"/>
                <w:szCs w:val="22"/>
              </w:rPr>
              <w:t>Dried fruits &amp; herbs</w:t>
            </w:r>
          </w:p>
        </w:tc>
        <w:tc>
          <w:tcPr>
            <w:tcW w:w="1260" w:type="dxa"/>
            <w:hideMark/>
          </w:tcPr>
          <w:p w:rsidR="007C6E3F" w:rsidRPr="00C217F2" w:rsidRDefault="007C6E3F" w:rsidP="00A20E3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C217F2">
              <w:rPr>
                <w:rFonts w:ascii="Times New Roman" w:hAnsi="Times New Roman"/>
                <w:b/>
                <w:sz w:val="22"/>
                <w:szCs w:val="22"/>
              </w:rPr>
              <w:t>Non-traditional vegetables</w:t>
            </w:r>
          </w:p>
        </w:tc>
        <w:tc>
          <w:tcPr>
            <w:tcW w:w="1080" w:type="dxa"/>
            <w:hideMark/>
          </w:tcPr>
          <w:p w:rsidR="007C6E3F" w:rsidRPr="00C217F2" w:rsidRDefault="007C6E3F" w:rsidP="00A20E3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C217F2">
              <w:rPr>
                <w:rFonts w:ascii="Times New Roman" w:hAnsi="Times New Roman"/>
                <w:b/>
                <w:sz w:val="22"/>
                <w:szCs w:val="22"/>
              </w:rPr>
              <w:t>Fruits &amp; berries</w:t>
            </w:r>
          </w:p>
        </w:tc>
      </w:tr>
      <w:tr w:rsidR="007C6E3F" w:rsidRPr="00C217F2" w:rsidTr="00C217F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2" w:type="dxa"/>
            <w:noWrap/>
            <w:hideMark/>
          </w:tcPr>
          <w:p w:rsidR="007C6E3F" w:rsidRPr="00C217F2" w:rsidRDefault="007C6E3F" w:rsidP="00A20E39">
            <w:pPr>
              <w:pStyle w:val="NoSpacing"/>
              <w:rPr>
                <w:rFonts w:ascii="Times New Roman" w:hAnsi="Times New Roman" w:cs="Times New Roman"/>
                <w:b w:val="0"/>
                <w:sz w:val="22"/>
                <w:szCs w:val="22"/>
              </w:rPr>
            </w:pPr>
            <w:r w:rsidRPr="00C217F2">
              <w:rPr>
                <w:rFonts w:ascii="Times New Roman" w:hAnsi="Times New Roman" w:cs="Times New Roman"/>
                <w:b w:val="0"/>
                <w:sz w:val="22"/>
                <w:szCs w:val="22"/>
              </w:rPr>
              <w:t>Aragatsotn</w:t>
            </w:r>
          </w:p>
        </w:tc>
        <w:tc>
          <w:tcPr>
            <w:tcW w:w="1468" w:type="dxa"/>
            <w:noWrap/>
            <w:hideMark/>
          </w:tcPr>
          <w:p w:rsidR="007C6E3F" w:rsidRPr="00C217F2" w:rsidRDefault="007C6E3F" w:rsidP="00A20E39">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C217F2">
              <w:rPr>
                <w:rFonts w:ascii="Times New Roman" w:hAnsi="Times New Roman"/>
                <w:sz w:val="22"/>
                <w:szCs w:val="22"/>
              </w:rPr>
              <w:t>6</w:t>
            </w:r>
          </w:p>
        </w:tc>
        <w:tc>
          <w:tcPr>
            <w:tcW w:w="1440" w:type="dxa"/>
            <w:noWrap/>
            <w:hideMark/>
          </w:tcPr>
          <w:p w:rsidR="007C6E3F" w:rsidRPr="00C217F2" w:rsidRDefault="007C6E3F" w:rsidP="00A20E39">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p>
        </w:tc>
        <w:tc>
          <w:tcPr>
            <w:tcW w:w="1260" w:type="dxa"/>
            <w:noWrap/>
            <w:hideMark/>
          </w:tcPr>
          <w:p w:rsidR="007C6E3F" w:rsidRPr="00C217F2" w:rsidRDefault="007C6E3F" w:rsidP="00A20E39">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C217F2">
              <w:rPr>
                <w:rFonts w:ascii="Times New Roman" w:hAnsi="Times New Roman"/>
                <w:sz w:val="22"/>
                <w:szCs w:val="22"/>
              </w:rPr>
              <w:t>2</w:t>
            </w:r>
          </w:p>
        </w:tc>
        <w:tc>
          <w:tcPr>
            <w:tcW w:w="1260" w:type="dxa"/>
            <w:noWrap/>
            <w:hideMark/>
          </w:tcPr>
          <w:p w:rsidR="007C6E3F" w:rsidRPr="00C217F2" w:rsidRDefault="007C6E3F" w:rsidP="00A20E39">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C217F2">
              <w:rPr>
                <w:rFonts w:ascii="Times New Roman" w:hAnsi="Times New Roman"/>
                <w:sz w:val="22"/>
                <w:szCs w:val="22"/>
              </w:rPr>
              <w:t>3</w:t>
            </w:r>
          </w:p>
        </w:tc>
        <w:tc>
          <w:tcPr>
            <w:tcW w:w="1260" w:type="dxa"/>
            <w:noWrap/>
            <w:hideMark/>
          </w:tcPr>
          <w:p w:rsidR="007C6E3F" w:rsidRPr="00C217F2" w:rsidRDefault="007C6E3F" w:rsidP="00A20E39">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p>
        </w:tc>
        <w:tc>
          <w:tcPr>
            <w:tcW w:w="1080" w:type="dxa"/>
            <w:noWrap/>
            <w:hideMark/>
          </w:tcPr>
          <w:p w:rsidR="007C6E3F" w:rsidRPr="00C217F2" w:rsidRDefault="007C6E3F" w:rsidP="00A20E39">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p>
        </w:tc>
      </w:tr>
      <w:tr w:rsidR="007C6E3F" w:rsidRPr="00C217F2" w:rsidTr="00C217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2" w:type="dxa"/>
            <w:noWrap/>
            <w:hideMark/>
          </w:tcPr>
          <w:p w:rsidR="007C6E3F" w:rsidRPr="00C217F2" w:rsidRDefault="007C6E3F" w:rsidP="00A20E39">
            <w:pPr>
              <w:pStyle w:val="NoSpacing"/>
              <w:rPr>
                <w:rFonts w:ascii="Times New Roman" w:hAnsi="Times New Roman" w:cs="Times New Roman"/>
                <w:b w:val="0"/>
                <w:sz w:val="22"/>
                <w:szCs w:val="22"/>
              </w:rPr>
            </w:pPr>
            <w:r w:rsidRPr="00C217F2">
              <w:rPr>
                <w:rFonts w:ascii="Times New Roman" w:hAnsi="Times New Roman" w:cs="Times New Roman"/>
                <w:b w:val="0"/>
                <w:sz w:val="22"/>
                <w:szCs w:val="22"/>
              </w:rPr>
              <w:t>Gegharkunik</w:t>
            </w:r>
          </w:p>
        </w:tc>
        <w:tc>
          <w:tcPr>
            <w:tcW w:w="1468" w:type="dxa"/>
            <w:noWrap/>
            <w:hideMark/>
          </w:tcPr>
          <w:p w:rsidR="007C6E3F" w:rsidRPr="00C217F2" w:rsidRDefault="007C6E3F" w:rsidP="00A20E3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C217F2">
              <w:rPr>
                <w:rFonts w:ascii="Times New Roman" w:hAnsi="Times New Roman"/>
                <w:sz w:val="22"/>
                <w:szCs w:val="22"/>
              </w:rPr>
              <w:t>5</w:t>
            </w:r>
          </w:p>
        </w:tc>
        <w:tc>
          <w:tcPr>
            <w:tcW w:w="1440" w:type="dxa"/>
            <w:noWrap/>
            <w:hideMark/>
          </w:tcPr>
          <w:p w:rsidR="007C6E3F" w:rsidRPr="00C217F2" w:rsidRDefault="007C6E3F" w:rsidP="00A20E3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C217F2">
              <w:rPr>
                <w:rFonts w:ascii="Times New Roman" w:hAnsi="Times New Roman"/>
                <w:sz w:val="22"/>
                <w:szCs w:val="22"/>
              </w:rPr>
              <w:t>1</w:t>
            </w:r>
          </w:p>
        </w:tc>
        <w:tc>
          <w:tcPr>
            <w:tcW w:w="1260" w:type="dxa"/>
            <w:noWrap/>
            <w:hideMark/>
          </w:tcPr>
          <w:p w:rsidR="007C6E3F" w:rsidRPr="00C217F2" w:rsidRDefault="007C6E3F" w:rsidP="00A20E3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C217F2">
              <w:rPr>
                <w:rFonts w:ascii="Times New Roman" w:hAnsi="Times New Roman"/>
                <w:sz w:val="22"/>
                <w:szCs w:val="22"/>
              </w:rPr>
              <w:t>1</w:t>
            </w:r>
          </w:p>
        </w:tc>
        <w:tc>
          <w:tcPr>
            <w:tcW w:w="1260" w:type="dxa"/>
            <w:noWrap/>
            <w:hideMark/>
          </w:tcPr>
          <w:p w:rsidR="007C6E3F" w:rsidRPr="00C217F2" w:rsidRDefault="007C6E3F" w:rsidP="00A20E3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C217F2">
              <w:rPr>
                <w:rFonts w:ascii="Times New Roman" w:hAnsi="Times New Roman"/>
                <w:sz w:val="22"/>
                <w:szCs w:val="22"/>
              </w:rPr>
              <w:t>1</w:t>
            </w:r>
          </w:p>
        </w:tc>
        <w:tc>
          <w:tcPr>
            <w:tcW w:w="1260" w:type="dxa"/>
            <w:noWrap/>
            <w:hideMark/>
          </w:tcPr>
          <w:p w:rsidR="007C6E3F" w:rsidRPr="00C217F2" w:rsidRDefault="007C6E3F" w:rsidP="00A20E3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080" w:type="dxa"/>
            <w:noWrap/>
            <w:hideMark/>
          </w:tcPr>
          <w:p w:rsidR="007C6E3F" w:rsidRPr="00C217F2" w:rsidRDefault="007C6E3F" w:rsidP="00A20E3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r w:rsidR="007C6E3F" w:rsidRPr="00C217F2" w:rsidTr="00C217F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2" w:type="dxa"/>
            <w:noWrap/>
            <w:hideMark/>
          </w:tcPr>
          <w:p w:rsidR="007C6E3F" w:rsidRPr="00C217F2" w:rsidRDefault="007C6E3F" w:rsidP="00A20E39">
            <w:pPr>
              <w:pStyle w:val="NoSpacing"/>
              <w:rPr>
                <w:rFonts w:ascii="Times New Roman" w:hAnsi="Times New Roman" w:cs="Times New Roman"/>
                <w:b w:val="0"/>
                <w:sz w:val="22"/>
                <w:szCs w:val="22"/>
              </w:rPr>
            </w:pPr>
            <w:r w:rsidRPr="00C217F2">
              <w:rPr>
                <w:rFonts w:ascii="Times New Roman" w:hAnsi="Times New Roman" w:cs="Times New Roman"/>
                <w:b w:val="0"/>
                <w:sz w:val="22"/>
                <w:szCs w:val="22"/>
              </w:rPr>
              <w:t>Kotayk</w:t>
            </w:r>
          </w:p>
        </w:tc>
        <w:tc>
          <w:tcPr>
            <w:tcW w:w="1468" w:type="dxa"/>
            <w:noWrap/>
            <w:hideMark/>
          </w:tcPr>
          <w:p w:rsidR="007C6E3F" w:rsidRPr="00C217F2" w:rsidRDefault="007C6E3F" w:rsidP="00A20E39">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C217F2">
              <w:rPr>
                <w:rFonts w:ascii="Times New Roman" w:hAnsi="Times New Roman"/>
                <w:sz w:val="22"/>
                <w:szCs w:val="22"/>
              </w:rPr>
              <w:t>1</w:t>
            </w:r>
          </w:p>
        </w:tc>
        <w:tc>
          <w:tcPr>
            <w:tcW w:w="1440" w:type="dxa"/>
            <w:noWrap/>
            <w:hideMark/>
          </w:tcPr>
          <w:p w:rsidR="007C6E3F" w:rsidRPr="00C217F2" w:rsidRDefault="007C6E3F" w:rsidP="00A20E39">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p>
        </w:tc>
        <w:tc>
          <w:tcPr>
            <w:tcW w:w="1260" w:type="dxa"/>
            <w:noWrap/>
            <w:hideMark/>
          </w:tcPr>
          <w:p w:rsidR="007C6E3F" w:rsidRPr="00C217F2" w:rsidRDefault="007C6E3F" w:rsidP="00A20E39">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p>
        </w:tc>
        <w:tc>
          <w:tcPr>
            <w:tcW w:w="1260" w:type="dxa"/>
            <w:noWrap/>
            <w:hideMark/>
          </w:tcPr>
          <w:p w:rsidR="007C6E3F" w:rsidRPr="00C217F2" w:rsidRDefault="007C6E3F" w:rsidP="00A20E39">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C217F2">
              <w:rPr>
                <w:rFonts w:ascii="Times New Roman" w:hAnsi="Times New Roman"/>
                <w:sz w:val="22"/>
                <w:szCs w:val="22"/>
              </w:rPr>
              <w:t>1</w:t>
            </w:r>
          </w:p>
        </w:tc>
        <w:tc>
          <w:tcPr>
            <w:tcW w:w="1260" w:type="dxa"/>
            <w:noWrap/>
            <w:hideMark/>
          </w:tcPr>
          <w:p w:rsidR="007C6E3F" w:rsidRPr="00C217F2" w:rsidRDefault="007C6E3F" w:rsidP="00A20E39">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p>
        </w:tc>
        <w:tc>
          <w:tcPr>
            <w:tcW w:w="1080" w:type="dxa"/>
            <w:noWrap/>
            <w:hideMark/>
          </w:tcPr>
          <w:p w:rsidR="007C6E3F" w:rsidRPr="00C217F2" w:rsidRDefault="007C6E3F" w:rsidP="00A20E39">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p>
        </w:tc>
      </w:tr>
      <w:tr w:rsidR="007C6E3F" w:rsidRPr="00C217F2" w:rsidTr="00C217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2" w:type="dxa"/>
            <w:noWrap/>
            <w:hideMark/>
          </w:tcPr>
          <w:p w:rsidR="007C6E3F" w:rsidRPr="00C217F2" w:rsidRDefault="007C6E3F" w:rsidP="00A20E39">
            <w:pPr>
              <w:pStyle w:val="NoSpacing"/>
              <w:rPr>
                <w:rFonts w:ascii="Times New Roman" w:hAnsi="Times New Roman" w:cs="Times New Roman"/>
                <w:b w:val="0"/>
                <w:sz w:val="22"/>
                <w:szCs w:val="22"/>
              </w:rPr>
            </w:pPr>
            <w:r w:rsidRPr="00C217F2">
              <w:rPr>
                <w:rFonts w:ascii="Times New Roman" w:hAnsi="Times New Roman" w:cs="Times New Roman"/>
                <w:b w:val="0"/>
                <w:sz w:val="22"/>
                <w:szCs w:val="22"/>
              </w:rPr>
              <w:t>Lori</w:t>
            </w:r>
          </w:p>
        </w:tc>
        <w:tc>
          <w:tcPr>
            <w:tcW w:w="1468" w:type="dxa"/>
            <w:noWrap/>
            <w:hideMark/>
          </w:tcPr>
          <w:p w:rsidR="007C6E3F" w:rsidRPr="00C217F2" w:rsidRDefault="007C6E3F" w:rsidP="00A20E3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C217F2">
              <w:rPr>
                <w:rFonts w:ascii="Times New Roman" w:hAnsi="Times New Roman"/>
                <w:sz w:val="22"/>
                <w:szCs w:val="22"/>
              </w:rPr>
              <w:t>2</w:t>
            </w:r>
          </w:p>
        </w:tc>
        <w:tc>
          <w:tcPr>
            <w:tcW w:w="1440" w:type="dxa"/>
            <w:noWrap/>
            <w:hideMark/>
          </w:tcPr>
          <w:p w:rsidR="007C6E3F" w:rsidRPr="00C217F2" w:rsidRDefault="007C6E3F" w:rsidP="00A20E3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260" w:type="dxa"/>
            <w:noWrap/>
            <w:hideMark/>
          </w:tcPr>
          <w:p w:rsidR="007C6E3F" w:rsidRPr="00C217F2" w:rsidRDefault="007C6E3F" w:rsidP="00A20E3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260" w:type="dxa"/>
            <w:noWrap/>
            <w:hideMark/>
          </w:tcPr>
          <w:p w:rsidR="007C6E3F" w:rsidRPr="00C217F2" w:rsidRDefault="007C6E3F" w:rsidP="00A20E3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260" w:type="dxa"/>
            <w:noWrap/>
            <w:hideMark/>
          </w:tcPr>
          <w:p w:rsidR="007C6E3F" w:rsidRPr="00C217F2" w:rsidRDefault="007C6E3F" w:rsidP="00A20E3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C217F2">
              <w:rPr>
                <w:rFonts w:ascii="Times New Roman" w:hAnsi="Times New Roman"/>
                <w:sz w:val="22"/>
                <w:szCs w:val="22"/>
              </w:rPr>
              <w:t>4</w:t>
            </w:r>
          </w:p>
        </w:tc>
        <w:tc>
          <w:tcPr>
            <w:tcW w:w="1080" w:type="dxa"/>
            <w:noWrap/>
            <w:hideMark/>
          </w:tcPr>
          <w:p w:rsidR="007C6E3F" w:rsidRPr="00C217F2" w:rsidRDefault="007C6E3F" w:rsidP="00A20E3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C217F2">
              <w:rPr>
                <w:rFonts w:ascii="Times New Roman" w:hAnsi="Times New Roman"/>
                <w:sz w:val="22"/>
                <w:szCs w:val="22"/>
              </w:rPr>
              <w:t>2</w:t>
            </w:r>
          </w:p>
        </w:tc>
      </w:tr>
      <w:tr w:rsidR="007C6E3F" w:rsidRPr="00C217F2" w:rsidTr="00C217F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2" w:type="dxa"/>
            <w:noWrap/>
            <w:hideMark/>
          </w:tcPr>
          <w:p w:rsidR="007C6E3F" w:rsidRPr="00C217F2" w:rsidRDefault="007C6E3F" w:rsidP="00A20E39">
            <w:pPr>
              <w:pStyle w:val="NoSpacing"/>
              <w:rPr>
                <w:rFonts w:ascii="Times New Roman" w:hAnsi="Times New Roman" w:cs="Times New Roman"/>
                <w:b w:val="0"/>
                <w:sz w:val="22"/>
                <w:szCs w:val="22"/>
              </w:rPr>
            </w:pPr>
            <w:r w:rsidRPr="00C217F2">
              <w:rPr>
                <w:rFonts w:ascii="Times New Roman" w:hAnsi="Times New Roman" w:cs="Times New Roman"/>
                <w:b w:val="0"/>
                <w:sz w:val="22"/>
                <w:szCs w:val="22"/>
              </w:rPr>
              <w:t>Shirak</w:t>
            </w:r>
          </w:p>
        </w:tc>
        <w:tc>
          <w:tcPr>
            <w:tcW w:w="1468" w:type="dxa"/>
            <w:noWrap/>
            <w:hideMark/>
          </w:tcPr>
          <w:p w:rsidR="007C6E3F" w:rsidRPr="00C217F2" w:rsidRDefault="007C6E3F" w:rsidP="00A20E39">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C217F2">
              <w:rPr>
                <w:rFonts w:ascii="Times New Roman" w:hAnsi="Times New Roman"/>
                <w:sz w:val="22"/>
                <w:szCs w:val="22"/>
              </w:rPr>
              <w:t>19</w:t>
            </w:r>
          </w:p>
        </w:tc>
        <w:tc>
          <w:tcPr>
            <w:tcW w:w="1440" w:type="dxa"/>
            <w:noWrap/>
            <w:hideMark/>
          </w:tcPr>
          <w:p w:rsidR="007C6E3F" w:rsidRPr="00C217F2" w:rsidRDefault="007C6E3F" w:rsidP="00A20E39">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C217F2">
              <w:rPr>
                <w:rFonts w:ascii="Times New Roman" w:hAnsi="Times New Roman"/>
                <w:sz w:val="22"/>
                <w:szCs w:val="22"/>
              </w:rPr>
              <w:t>1</w:t>
            </w:r>
          </w:p>
        </w:tc>
        <w:tc>
          <w:tcPr>
            <w:tcW w:w="1260" w:type="dxa"/>
            <w:noWrap/>
            <w:hideMark/>
          </w:tcPr>
          <w:p w:rsidR="007C6E3F" w:rsidRPr="00C217F2" w:rsidRDefault="007C6E3F" w:rsidP="00A20E39">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C217F2">
              <w:rPr>
                <w:rFonts w:ascii="Times New Roman" w:hAnsi="Times New Roman"/>
                <w:sz w:val="22"/>
                <w:szCs w:val="22"/>
              </w:rPr>
              <w:t>2</w:t>
            </w:r>
          </w:p>
        </w:tc>
        <w:tc>
          <w:tcPr>
            <w:tcW w:w="1260" w:type="dxa"/>
            <w:noWrap/>
            <w:hideMark/>
          </w:tcPr>
          <w:p w:rsidR="007C6E3F" w:rsidRPr="00C217F2" w:rsidRDefault="007C6E3F" w:rsidP="00A20E39">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C217F2">
              <w:rPr>
                <w:rFonts w:ascii="Times New Roman" w:hAnsi="Times New Roman"/>
                <w:sz w:val="22"/>
                <w:szCs w:val="22"/>
              </w:rPr>
              <w:t>1</w:t>
            </w:r>
          </w:p>
        </w:tc>
        <w:tc>
          <w:tcPr>
            <w:tcW w:w="1260" w:type="dxa"/>
            <w:noWrap/>
            <w:hideMark/>
          </w:tcPr>
          <w:p w:rsidR="007C6E3F" w:rsidRPr="00C217F2" w:rsidRDefault="007C6E3F" w:rsidP="00A20E39">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p>
        </w:tc>
        <w:tc>
          <w:tcPr>
            <w:tcW w:w="1080" w:type="dxa"/>
            <w:noWrap/>
            <w:hideMark/>
          </w:tcPr>
          <w:p w:rsidR="007C6E3F" w:rsidRPr="00C217F2" w:rsidRDefault="007C6E3F" w:rsidP="00A20E39">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p>
        </w:tc>
      </w:tr>
      <w:tr w:rsidR="007C6E3F" w:rsidRPr="00C217F2" w:rsidTr="00C217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2" w:type="dxa"/>
            <w:noWrap/>
            <w:hideMark/>
          </w:tcPr>
          <w:p w:rsidR="007C6E3F" w:rsidRPr="00C217F2" w:rsidRDefault="007C6E3F" w:rsidP="00A20E39">
            <w:pPr>
              <w:pStyle w:val="NoSpacing"/>
              <w:rPr>
                <w:rFonts w:ascii="Times New Roman" w:hAnsi="Times New Roman" w:cs="Times New Roman"/>
                <w:b w:val="0"/>
                <w:sz w:val="22"/>
                <w:szCs w:val="22"/>
              </w:rPr>
            </w:pPr>
            <w:r w:rsidRPr="00C217F2">
              <w:rPr>
                <w:rFonts w:ascii="Times New Roman" w:hAnsi="Times New Roman" w:cs="Times New Roman"/>
                <w:b w:val="0"/>
                <w:sz w:val="22"/>
                <w:szCs w:val="22"/>
              </w:rPr>
              <w:t>Vayots Dzor</w:t>
            </w:r>
          </w:p>
        </w:tc>
        <w:tc>
          <w:tcPr>
            <w:tcW w:w="1468" w:type="dxa"/>
            <w:noWrap/>
            <w:hideMark/>
          </w:tcPr>
          <w:p w:rsidR="007C6E3F" w:rsidRPr="00C217F2" w:rsidRDefault="007C6E3F" w:rsidP="00A20E3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440" w:type="dxa"/>
            <w:noWrap/>
            <w:hideMark/>
          </w:tcPr>
          <w:p w:rsidR="007C6E3F" w:rsidRPr="00C217F2" w:rsidRDefault="007C6E3F" w:rsidP="00A20E3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260" w:type="dxa"/>
            <w:noWrap/>
            <w:hideMark/>
          </w:tcPr>
          <w:p w:rsidR="007C6E3F" w:rsidRPr="00C217F2" w:rsidRDefault="007C6E3F" w:rsidP="00A20E3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C217F2">
              <w:rPr>
                <w:rFonts w:ascii="Times New Roman" w:hAnsi="Times New Roman"/>
                <w:sz w:val="22"/>
                <w:szCs w:val="22"/>
              </w:rPr>
              <w:t>1</w:t>
            </w:r>
          </w:p>
        </w:tc>
        <w:tc>
          <w:tcPr>
            <w:tcW w:w="1260" w:type="dxa"/>
            <w:noWrap/>
            <w:hideMark/>
          </w:tcPr>
          <w:p w:rsidR="007C6E3F" w:rsidRPr="00C217F2" w:rsidRDefault="007C6E3F" w:rsidP="00A20E3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260" w:type="dxa"/>
            <w:noWrap/>
            <w:hideMark/>
          </w:tcPr>
          <w:p w:rsidR="007C6E3F" w:rsidRPr="00C217F2" w:rsidRDefault="007C6E3F" w:rsidP="00A20E3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080" w:type="dxa"/>
            <w:noWrap/>
            <w:hideMark/>
          </w:tcPr>
          <w:p w:rsidR="007C6E3F" w:rsidRPr="00C217F2" w:rsidRDefault="007C6E3F" w:rsidP="00A20E3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r w:rsidR="007C6E3F" w:rsidRPr="00C217F2" w:rsidTr="00C217F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2" w:type="dxa"/>
            <w:noWrap/>
            <w:hideMark/>
          </w:tcPr>
          <w:p w:rsidR="007C6E3F" w:rsidRPr="00C217F2" w:rsidRDefault="007C6E3F" w:rsidP="00A20E39">
            <w:pPr>
              <w:pStyle w:val="NoSpacing"/>
              <w:rPr>
                <w:rFonts w:ascii="Times New Roman" w:hAnsi="Times New Roman" w:cs="Times New Roman"/>
                <w:b w:val="0"/>
                <w:sz w:val="22"/>
                <w:szCs w:val="22"/>
              </w:rPr>
            </w:pPr>
            <w:r w:rsidRPr="00C217F2">
              <w:rPr>
                <w:rFonts w:ascii="Times New Roman" w:hAnsi="Times New Roman" w:cs="Times New Roman"/>
                <w:b w:val="0"/>
                <w:sz w:val="22"/>
                <w:szCs w:val="22"/>
              </w:rPr>
              <w:t>Ararat</w:t>
            </w:r>
          </w:p>
        </w:tc>
        <w:tc>
          <w:tcPr>
            <w:tcW w:w="1468" w:type="dxa"/>
            <w:noWrap/>
            <w:hideMark/>
          </w:tcPr>
          <w:p w:rsidR="007C6E3F" w:rsidRPr="00C217F2" w:rsidRDefault="007C6E3F" w:rsidP="00A20E39">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p>
        </w:tc>
        <w:tc>
          <w:tcPr>
            <w:tcW w:w="1440" w:type="dxa"/>
            <w:noWrap/>
            <w:hideMark/>
          </w:tcPr>
          <w:p w:rsidR="007C6E3F" w:rsidRPr="00C217F2" w:rsidRDefault="007C6E3F" w:rsidP="00A20E39">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p>
        </w:tc>
        <w:tc>
          <w:tcPr>
            <w:tcW w:w="1260" w:type="dxa"/>
            <w:noWrap/>
            <w:hideMark/>
          </w:tcPr>
          <w:p w:rsidR="007C6E3F" w:rsidRPr="00C217F2" w:rsidRDefault="007C6E3F" w:rsidP="00A20E39">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p>
        </w:tc>
        <w:tc>
          <w:tcPr>
            <w:tcW w:w="1260" w:type="dxa"/>
            <w:noWrap/>
            <w:hideMark/>
          </w:tcPr>
          <w:p w:rsidR="007C6E3F" w:rsidRPr="00C217F2" w:rsidRDefault="007C6E3F" w:rsidP="00A20E39">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p>
        </w:tc>
        <w:tc>
          <w:tcPr>
            <w:tcW w:w="1260" w:type="dxa"/>
            <w:noWrap/>
            <w:hideMark/>
          </w:tcPr>
          <w:p w:rsidR="007C6E3F" w:rsidRPr="00C217F2" w:rsidRDefault="007C6E3F" w:rsidP="00A20E39">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p>
        </w:tc>
        <w:tc>
          <w:tcPr>
            <w:tcW w:w="1080" w:type="dxa"/>
            <w:noWrap/>
            <w:hideMark/>
          </w:tcPr>
          <w:p w:rsidR="007C6E3F" w:rsidRPr="00C217F2" w:rsidRDefault="007C6E3F" w:rsidP="00A20E39">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C217F2">
              <w:rPr>
                <w:rFonts w:ascii="Times New Roman" w:hAnsi="Times New Roman"/>
                <w:sz w:val="22"/>
                <w:szCs w:val="22"/>
              </w:rPr>
              <w:t>1</w:t>
            </w:r>
          </w:p>
        </w:tc>
      </w:tr>
      <w:tr w:rsidR="007C6E3F" w:rsidRPr="00C217F2" w:rsidTr="00C217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2" w:type="dxa"/>
            <w:noWrap/>
            <w:hideMark/>
          </w:tcPr>
          <w:p w:rsidR="007C6E3F" w:rsidRPr="00C217F2" w:rsidRDefault="007C6E3F" w:rsidP="00A20E39">
            <w:pPr>
              <w:pStyle w:val="NoSpacing"/>
              <w:rPr>
                <w:rFonts w:ascii="Times New Roman" w:hAnsi="Times New Roman" w:cs="Times New Roman"/>
                <w:b w:val="0"/>
                <w:sz w:val="22"/>
                <w:szCs w:val="22"/>
              </w:rPr>
            </w:pPr>
            <w:r w:rsidRPr="00C217F2">
              <w:rPr>
                <w:rFonts w:ascii="Times New Roman" w:hAnsi="Times New Roman" w:cs="Times New Roman"/>
                <w:b w:val="0"/>
                <w:sz w:val="22"/>
                <w:szCs w:val="22"/>
              </w:rPr>
              <w:t xml:space="preserve">Total </w:t>
            </w:r>
          </w:p>
        </w:tc>
        <w:tc>
          <w:tcPr>
            <w:tcW w:w="1468" w:type="dxa"/>
            <w:noWrap/>
            <w:hideMark/>
          </w:tcPr>
          <w:p w:rsidR="007C6E3F" w:rsidRPr="00C217F2" w:rsidRDefault="007C6E3F" w:rsidP="00A20E3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C217F2">
              <w:rPr>
                <w:rFonts w:ascii="Times New Roman" w:hAnsi="Times New Roman"/>
                <w:b/>
                <w:sz w:val="22"/>
                <w:szCs w:val="22"/>
              </w:rPr>
              <w:t>33</w:t>
            </w:r>
          </w:p>
        </w:tc>
        <w:tc>
          <w:tcPr>
            <w:tcW w:w="1440" w:type="dxa"/>
            <w:noWrap/>
            <w:hideMark/>
          </w:tcPr>
          <w:p w:rsidR="007C6E3F" w:rsidRPr="00C217F2" w:rsidRDefault="007C6E3F" w:rsidP="00A20E3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C217F2">
              <w:rPr>
                <w:rFonts w:ascii="Times New Roman" w:hAnsi="Times New Roman"/>
                <w:b/>
                <w:sz w:val="22"/>
                <w:szCs w:val="22"/>
              </w:rPr>
              <w:t>2</w:t>
            </w:r>
          </w:p>
        </w:tc>
        <w:tc>
          <w:tcPr>
            <w:tcW w:w="1260" w:type="dxa"/>
            <w:noWrap/>
            <w:hideMark/>
          </w:tcPr>
          <w:p w:rsidR="007C6E3F" w:rsidRPr="00C217F2" w:rsidRDefault="007C6E3F" w:rsidP="00A20E3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C217F2">
              <w:rPr>
                <w:rFonts w:ascii="Times New Roman" w:hAnsi="Times New Roman"/>
                <w:b/>
                <w:sz w:val="22"/>
                <w:szCs w:val="22"/>
              </w:rPr>
              <w:t>6</w:t>
            </w:r>
          </w:p>
        </w:tc>
        <w:tc>
          <w:tcPr>
            <w:tcW w:w="1260" w:type="dxa"/>
            <w:noWrap/>
            <w:hideMark/>
          </w:tcPr>
          <w:p w:rsidR="007C6E3F" w:rsidRPr="00C217F2" w:rsidRDefault="007C6E3F" w:rsidP="00A20E3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C217F2">
              <w:rPr>
                <w:rFonts w:ascii="Times New Roman" w:hAnsi="Times New Roman"/>
                <w:b/>
                <w:sz w:val="22"/>
                <w:szCs w:val="22"/>
              </w:rPr>
              <w:t>6</w:t>
            </w:r>
          </w:p>
        </w:tc>
        <w:tc>
          <w:tcPr>
            <w:tcW w:w="1260" w:type="dxa"/>
            <w:noWrap/>
            <w:hideMark/>
          </w:tcPr>
          <w:p w:rsidR="007C6E3F" w:rsidRPr="00C217F2" w:rsidRDefault="007C6E3F" w:rsidP="00A20E3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C217F2">
              <w:rPr>
                <w:rFonts w:ascii="Times New Roman" w:hAnsi="Times New Roman"/>
                <w:b/>
                <w:sz w:val="22"/>
                <w:szCs w:val="22"/>
              </w:rPr>
              <w:t>4</w:t>
            </w:r>
          </w:p>
        </w:tc>
        <w:tc>
          <w:tcPr>
            <w:tcW w:w="1080" w:type="dxa"/>
            <w:noWrap/>
            <w:hideMark/>
          </w:tcPr>
          <w:p w:rsidR="007C6E3F" w:rsidRPr="00C217F2" w:rsidRDefault="007C6E3F" w:rsidP="00A20E3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C217F2">
              <w:rPr>
                <w:rFonts w:ascii="Times New Roman" w:hAnsi="Times New Roman"/>
                <w:b/>
                <w:sz w:val="22"/>
                <w:szCs w:val="22"/>
              </w:rPr>
              <w:t>3</w:t>
            </w:r>
          </w:p>
        </w:tc>
      </w:tr>
    </w:tbl>
    <w:p w:rsidR="007C6E3F" w:rsidRDefault="007C6E3F" w:rsidP="007C6E3F">
      <w:pPr>
        <w:jc w:val="both"/>
        <w:rPr>
          <w:b/>
          <w:i/>
          <w:szCs w:val="24"/>
          <w:u w:val="single"/>
        </w:rPr>
      </w:pPr>
    </w:p>
    <w:p w:rsidR="00E064AE" w:rsidRDefault="00E064AE" w:rsidP="00E064AE">
      <w:pPr>
        <w:rPr>
          <w:b/>
          <w:i/>
          <w:szCs w:val="24"/>
          <w:u w:val="single"/>
        </w:rPr>
      </w:pPr>
      <w:r w:rsidRPr="00E064AE">
        <w:rPr>
          <w:b/>
          <w:i/>
          <w:szCs w:val="24"/>
          <w:u w:val="single"/>
        </w:rPr>
        <w:t>Statements of Intent</w:t>
      </w:r>
    </w:p>
    <w:p w:rsidR="00E064AE" w:rsidRPr="00EB323D" w:rsidRDefault="00E064AE" w:rsidP="0051405D">
      <w:pPr>
        <w:jc w:val="both"/>
      </w:pPr>
      <w:r w:rsidRPr="00C41CD6">
        <w:rPr>
          <w:b/>
        </w:rPr>
        <w:t xml:space="preserve"> </w:t>
      </w:r>
      <w:r>
        <w:t>SOIs were signed between the project and the producer groups, as the basis of collaboration and co-investment. The SOIs detail the responsibilities of each UN agency as well as of the respective producer group, noting the equip</w:t>
      </w:r>
      <w:r>
        <w:lastRenderedPageBreak/>
        <w:t>ment to be provided and describing the commitments involving construction/renovation of sites and co-financing. The documents were signed by the responsible coordinators from the UN agencies, as well as by all of the farmers in the groups, with passport numbers and other details included.</w:t>
      </w:r>
    </w:p>
    <w:p w:rsidR="00E064AE" w:rsidRDefault="00E064AE" w:rsidP="0051405D">
      <w:pPr>
        <w:jc w:val="both"/>
        <w:rPr>
          <w:b/>
        </w:rPr>
      </w:pPr>
    </w:p>
    <w:p w:rsidR="00E064AE" w:rsidRDefault="00E064AE" w:rsidP="0051405D">
      <w:pPr>
        <w:jc w:val="both"/>
        <w:rPr>
          <w:b/>
          <w:i/>
          <w:szCs w:val="24"/>
          <w:u w:val="single"/>
        </w:rPr>
      </w:pPr>
      <w:r w:rsidRPr="00E064AE">
        <w:rPr>
          <w:b/>
          <w:i/>
          <w:szCs w:val="24"/>
          <w:u w:val="single"/>
        </w:rPr>
        <w:t>Cooperative registration</w:t>
      </w:r>
    </w:p>
    <w:p w:rsidR="00E064AE" w:rsidRDefault="000C6F74" w:rsidP="0051405D">
      <w:pPr>
        <w:jc w:val="both"/>
      </w:pPr>
      <w:r>
        <w:rPr>
          <w:bCs/>
          <w:iCs/>
          <w:szCs w:val="24"/>
        </w:rPr>
        <w:t xml:space="preserve">The project hired consultant to support the groups with cooperative registration process. </w:t>
      </w:r>
      <w:r w:rsidR="00E064AE">
        <w:t>All of the cooperatives in the table above were registered as Agricultural Cooperatives with the State Registry of the Ministry of Justice, including the two head cooperatives for buckwheat hulling. Registration included discussions and trainings with the groups, adoption of the cooperative charter, and selection of a president. All of the buckwheat production cooperatives met for General Assemblies (separately in the two clusters</w:t>
      </w:r>
      <w:r w:rsidR="009D0468">
        <w:t xml:space="preserve"> Shirak-Aragatsotn and Gegharkunik-Kotayk</w:t>
      </w:r>
      <w:r w:rsidR="00E064AE">
        <w:t xml:space="preserve">) to form the </w:t>
      </w:r>
      <w:r w:rsidR="009D0468">
        <w:t xml:space="preserve">head cooperatives </w:t>
      </w:r>
      <w:r w:rsidR="00E064AE">
        <w:t xml:space="preserve">and elect the presidents. </w:t>
      </w:r>
    </w:p>
    <w:p w:rsidR="009D0468" w:rsidRDefault="009D0468" w:rsidP="007C6E3F">
      <w:pPr>
        <w:jc w:val="both"/>
        <w:rPr>
          <w:b/>
          <w:i/>
          <w:szCs w:val="24"/>
          <w:u w:val="single"/>
        </w:rPr>
      </w:pPr>
    </w:p>
    <w:p w:rsidR="007C6E3F" w:rsidRPr="007C6E3F" w:rsidRDefault="007C6E3F" w:rsidP="007C6E3F">
      <w:pPr>
        <w:jc w:val="both"/>
        <w:rPr>
          <w:b/>
          <w:i/>
          <w:szCs w:val="24"/>
          <w:u w:val="single"/>
        </w:rPr>
      </w:pPr>
      <w:r w:rsidRPr="007C6E3F">
        <w:rPr>
          <w:b/>
          <w:i/>
          <w:szCs w:val="24"/>
          <w:u w:val="single"/>
        </w:rPr>
        <w:t>Business plan</w:t>
      </w:r>
      <w:r w:rsidR="004F11A3">
        <w:rPr>
          <w:b/>
          <w:i/>
          <w:szCs w:val="24"/>
          <w:u w:val="single"/>
        </w:rPr>
        <w:t xml:space="preserve"> development and presentations</w:t>
      </w:r>
    </w:p>
    <w:p w:rsidR="007C6E3F" w:rsidRDefault="007C6E3F" w:rsidP="007C6E3F">
      <w:pPr>
        <w:jc w:val="both"/>
        <w:rPr>
          <w:szCs w:val="24"/>
        </w:rPr>
      </w:pPr>
      <w:r>
        <w:rPr>
          <w:szCs w:val="24"/>
        </w:rPr>
        <w:t xml:space="preserve">In early 2016 </w:t>
      </w:r>
      <w:r w:rsidR="004F11A3">
        <w:rPr>
          <w:szCs w:val="24"/>
        </w:rPr>
        <w:t xml:space="preserve">trainings on </w:t>
      </w:r>
      <w:r w:rsidR="004F11A3" w:rsidRPr="004F11A3">
        <w:rPr>
          <w:iCs/>
          <w:szCs w:val="24"/>
        </w:rPr>
        <w:t xml:space="preserve">business skills </w:t>
      </w:r>
      <w:r w:rsidR="004F11A3">
        <w:rPr>
          <w:iCs/>
          <w:szCs w:val="24"/>
        </w:rPr>
        <w:t>were provided and</w:t>
      </w:r>
      <w:r w:rsidR="004F11A3" w:rsidRPr="004F11A3">
        <w:rPr>
          <w:iCs/>
          <w:szCs w:val="24"/>
        </w:rPr>
        <w:t xml:space="preserve"> </w:t>
      </w:r>
      <w:r w:rsidR="004F11A3">
        <w:rPr>
          <w:iCs/>
          <w:szCs w:val="24"/>
        </w:rPr>
        <w:t xml:space="preserve">individual </w:t>
      </w:r>
      <w:r w:rsidR="004F11A3" w:rsidRPr="004F11A3">
        <w:rPr>
          <w:iCs/>
          <w:szCs w:val="24"/>
        </w:rPr>
        <w:t xml:space="preserve">business plans </w:t>
      </w:r>
      <w:r w:rsidR="004F11A3">
        <w:rPr>
          <w:iCs/>
          <w:szCs w:val="24"/>
        </w:rPr>
        <w:t xml:space="preserve">were developed </w:t>
      </w:r>
      <w:r w:rsidR="004F11A3" w:rsidRPr="004F11A3">
        <w:rPr>
          <w:iCs/>
          <w:szCs w:val="24"/>
        </w:rPr>
        <w:t>for the primary producer groups (initiated in 2015)</w:t>
      </w:r>
      <w:r>
        <w:rPr>
          <w:szCs w:val="24"/>
        </w:rPr>
        <w:t xml:space="preserve">. </w:t>
      </w:r>
      <w:r w:rsidR="004F11A3" w:rsidRPr="00FD7A6F">
        <w:rPr>
          <w:iCs/>
        </w:rPr>
        <w:t>In February, the primary production groups presented their business</w:t>
      </w:r>
      <w:r w:rsidR="004F11A3">
        <w:rPr>
          <w:iCs/>
        </w:rPr>
        <w:t xml:space="preserve"> plans</w:t>
      </w:r>
      <w:r w:rsidR="004F11A3" w:rsidRPr="005776FA">
        <w:rPr>
          <w:iCs/>
        </w:rPr>
        <w:t>. All business plan presentations included detailed discussions of profitability, cost</w:t>
      </w:r>
      <w:r w:rsidR="004F11A3">
        <w:rPr>
          <w:iCs/>
        </w:rPr>
        <w:t>-price breakdown, breakeven,</w:t>
      </w:r>
      <w:r w:rsidR="004F11A3" w:rsidRPr="005776FA">
        <w:rPr>
          <w:iCs/>
        </w:rPr>
        <w:t xml:space="preserve"> a time schedu</w:t>
      </w:r>
      <w:r w:rsidR="004F11A3">
        <w:rPr>
          <w:iCs/>
        </w:rPr>
        <w:t>le of cultivation works,</w:t>
      </w:r>
      <w:r w:rsidR="004F11A3" w:rsidRPr="005776FA">
        <w:rPr>
          <w:iCs/>
        </w:rPr>
        <w:t xml:space="preserve"> production and marketing plans, and a financial plan showing the share of costs covered by ENPARD and those paid through the farmers’ own investments.</w:t>
      </w:r>
    </w:p>
    <w:p w:rsidR="007C6E3F" w:rsidRDefault="007C6E3F" w:rsidP="00C60AFB">
      <w:pPr>
        <w:jc w:val="both"/>
        <w:rPr>
          <w:b/>
          <w:szCs w:val="24"/>
        </w:rPr>
      </w:pPr>
    </w:p>
    <w:p w:rsidR="007C6E3F" w:rsidRPr="007C6E3F" w:rsidRDefault="007C6E3F" w:rsidP="007C6E3F">
      <w:pPr>
        <w:jc w:val="both"/>
        <w:rPr>
          <w:i/>
          <w:szCs w:val="24"/>
        </w:rPr>
      </w:pPr>
      <w:r w:rsidRPr="007C6E3F">
        <w:rPr>
          <w:i/>
          <w:szCs w:val="24"/>
        </w:rPr>
        <w:t xml:space="preserve">Schedule of the business plans presentations </w:t>
      </w:r>
    </w:p>
    <w:p w:rsidR="007C6E3F" w:rsidRDefault="007C6E3F" w:rsidP="007C6E3F">
      <w:pPr>
        <w:jc w:val="both"/>
        <w:rPr>
          <w:szCs w:val="24"/>
        </w:rPr>
      </w:pPr>
    </w:p>
    <w:tbl>
      <w:tblPr>
        <w:tblStyle w:val="LightShading-Accent11"/>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710"/>
        <w:gridCol w:w="1620"/>
        <w:gridCol w:w="4425"/>
      </w:tblGrid>
      <w:tr w:rsidR="007C6E3F" w:rsidRPr="0037505A" w:rsidTr="007C6E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Borders>
              <w:top w:val="none" w:sz="0" w:space="0" w:color="auto"/>
              <w:left w:val="none" w:sz="0" w:space="0" w:color="auto"/>
              <w:bottom w:val="none" w:sz="0" w:space="0" w:color="auto"/>
              <w:right w:val="none" w:sz="0" w:space="0" w:color="auto"/>
            </w:tcBorders>
          </w:tcPr>
          <w:p w:rsidR="007C6E3F" w:rsidRPr="00631357" w:rsidRDefault="007C6E3F" w:rsidP="00A20E39">
            <w:pPr>
              <w:pStyle w:val="Caption"/>
              <w:spacing w:line="360" w:lineRule="auto"/>
              <w:jc w:val="center"/>
              <w:rPr>
                <w:rFonts w:ascii="Times New Roman" w:hAnsi="Times New Roman" w:cs="Times New Roman"/>
                <w:i w:val="0"/>
                <w:color w:val="000000" w:themeColor="text1"/>
                <w:sz w:val="22"/>
                <w:szCs w:val="22"/>
                <w:lang w:val="en-US"/>
              </w:rPr>
            </w:pPr>
            <w:r w:rsidRPr="00631357">
              <w:rPr>
                <w:rFonts w:ascii="Times New Roman" w:hAnsi="Times New Roman" w:cs="Times New Roman"/>
                <w:i w:val="0"/>
                <w:color w:val="000000" w:themeColor="text1"/>
                <w:sz w:val="22"/>
                <w:szCs w:val="22"/>
                <w:lang w:val="en-US"/>
              </w:rPr>
              <w:t>Region</w:t>
            </w:r>
          </w:p>
        </w:tc>
        <w:tc>
          <w:tcPr>
            <w:tcW w:w="1710" w:type="dxa"/>
            <w:tcBorders>
              <w:top w:val="none" w:sz="0" w:space="0" w:color="auto"/>
              <w:left w:val="none" w:sz="0" w:space="0" w:color="auto"/>
              <w:bottom w:val="none" w:sz="0" w:space="0" w:color="auto"/>
              <w:right w:val="none" w:sz="0" w:space="0" w:color="auto"/>
            </w:tcBorders>
          </w:tcPr>
          <w:p w:rsidR="007C6E3F" w:rsidRPr="00631357" w:rsidRDefault="007C6E3F" w:rsidP="00A20E39">
            <w:pPr>
              <w:pStyle w:val="Caption"/>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color w:val="000000" w:themeColor="text1"/>
                <w:sz w:val="22"/>
                <w:szCs w:val="22"/>
                <w:lang w:val="en-US"/>
              </w:rPr>
            </w:pPr>
            <w:r w:rsidRPr="00631357">
              <w:rPr>
                <w:rFonts w:ascii="Times New Roman" w:hAnsi="Times New Roman" w:cs="Times New Roman"/>
                <w:i w:val="0"/>
                <w:color w:val="000000" w:themeColor="text1"/>
                <w:sz w:val="22"/>
                <w:szCs w:val="22"/>
                <w:lang w:val="en-US"/>
              </w:rPr>
              <w:t>Date</w:t>
            </w:r>
          </w:p>
        </w:tc>
        <w:tc>
          <w:tcPr>
            <w:tcW w:w="1620" w:type="dxa"/>
            <w:tcBorders>
              <w:top w:val="none" w:sz="0" w:space="0" w:color="auto"/>
              <w:left w:val="none" w:sz="0" w:space="0" w:color="auto"/>
              <w:bottom w:val="none" w:sz="0" w:space="0" w:color="auto"/>
              <w:right w:val="none" w:sz="0" w:space="0" w:color="auto"/>
            </w:tcBorders>
          </w:tcPr>
          <w:p w:rsidR="007C6E3F" w:rsidRPr="00631357" w:rsidRDefault="007C6E3F" w:rsidP="00A20E39">
            <w:pPr>
              <w:pStyle w:val="Caption"/>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color w:val="000000" w:themeColor="text1"/>
                <w:sz w:val="22"/>
                <w:szCs w:val="22"/>
                <w:lang w:val="en-US"/>
              </w:rPr>
            </w:pPr>
            <w:r w:rsidRPr="00631357">
              <w:rPr>
                <w:rFonts w:ascii="Times New Roman" w:hAnsi="Times New Roman" w:cs="Times New Roman"/>
                <w:i w:val="0"/>
                <w:color w:val="000000" w:themeColor="text1"/>
                <w:sz w:val="22"/>
                <w:szCs w:val="22"/>
                <w:lang w:val="en-US"/>
              </w:rPr>
              <w:t>Participants</w:t>
            </w:r>
          </w:p>
        </w:tc>
        <w:tc>
          <w:tcPr>
            <w:tcW w:w="4425" w:type="dxa"/>
            <w:tcBorders>
              <w:top w:val="none" w:sz="0" w:space="0" w:color="auto"/>
              <w:left w:val="none" w:sz="0" w:space="0" w:color="auto"/>
              <w:bottom w:val="none" w:sz="0" w:space="0" w:color="auto"/>
              <w:right w:val="none" w:sz="0" w:space="0" w:color="auto"/>
            </w:tcBorders>
          </w:tcPr>
          <w:p w:rsidR="007C6E3F" w:rsidRPr="00631357" w:rsidRDefault="007C6E3F" w:rsidP="00A20E39">
            <w:pPr>
              <w:pStyle w:val="Caption"/>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color w:val="000000" w:themeColor="text1"/>
                <w:sz w:val="22"/>
                <w:szCs w:val="22"/>
                <w:lang w:val="en-US"/>
              </w:rPr>
            </w:pPr>
            <w:r w:rsidRPr="00631357">
              <w:rPr>
                <w:rFonts w:ascii="Times New Roman" w:hAnsi="Times New Roman" w:cs="Times New Roman"/>
                <w:i w:val="0"/>
                <w:color w:val="000000" w:themeColor="text1"/>
                <w:sz w:val="22"/>
                <w:szCs w:val="22"/>
                <w:lang w:val="en-US"/>
              </w:rPr>
              <w:t>Communities</w:t>
            </w:r>
          </w:p>
        </w:tc>
      </w:tr>
      <w:tr w:rsidR="007C6E3F" w:rsidRPr="0037505A" w:rsidTr="007C6E3F">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604" w:type="dxa"/>
            <w:tcBorders>
              <w:left w:val="none" w:sz="0" w:space="0" w:color="auto"/>
              <w:right w:val="none" w:sz="0" w:space="0" w:color="auto"/>
            </w:tcBorders>
            <w:shd w:val="clear" w:color="auto" w:fill="auto"/>
            <w:vAlign w:val="center"/>
          </w:tcPr>
          <w:p w:rsidR="007C6E3F" w:rsidRPr="00631357" w:rsidRDefault="007C6E3F" w:rsidP="00A20E39">
            <w:pPr>
              <w:pStyle w:val="Caption"/>
              <w:spacing w:line="360" w:lineRule="auto"/>
              <w:rPr>
                <w:rFonts w:ascii="Times New Roman" w:hAnsi="Times New Roman" w:cs="Times New Roman"/>
                <w:b w:val="0"/>
                <w:i w:val="0"/>
                <w:color w:val="000000" w:themeColor="text1"/>
                <w:sz w:val="22"/>
                <w:szCs w:val="22"/>
                <w:lang w:val="en-US"/>
              </w:rPr>
            </w:pPr>
            <w:r w:rsidRPr="00631357">
              <w:rPr>
                <w:rFonts w:ascii="Times New Roman" w:hAnsi="Times New Roman" w:cs="Times New Roman"/>
                <w:b w:val="0"/>
                <w:i w:val="0"/>
                <w:color w:val="000000" w:themeColor="text1"/>
                <w:sz w:val="22"/>
                <w:szCs w:val="22"/>
                <w:lang w:val="en-US"/>
              </w:rPr>
              <w:t>Shirak</w:t>
            </w:r>
          </w:p>
        </w:tc>
        <w:tc>
          <w:tcPr>
            <w:tcW w:w="1710" w:type="dxa"/>
            <w:tcBorders>
              <w:left w:val="none" w:sz="0" w:space="0" w:color="auto"/>
              <w:right w:val="none" w:sz="0" w:space="0" w:color="auto"/>
            </w:tcBorders>
            <w:shd w:val="clear" w:color="auto" w:fill="auto"/>
            <w:vAlign w:val="center"/>
          </w:tcPr>
          <w:p w:rsidR="007C6E3F" w:rsidRPr="00631357" w:rsidRDefault="007C6E3F" w:rsidP="00A20E39">
            <w:pPr>
              <w:pStyle w:val="Captio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color w:val="000000" w:themeColor="text1"/>
                <w:sz w:val="22"/>
                <w:szCs w:val="22"/>
                <w:lang w:val="en-US"/>
              </w:rPr>
            </w:pPr>
            <w:r w:rsidRPr="00631357">
              <w:rPr>
                <w:rFonts w:ascii="Times New Roman" w:hAnsi="Times New Roman" w:cs="Times New Roman"/>
                <w:i w:val="0"/>
                <w:color w:val="000000" w:themeColor="text1"/>
                <w:sz w:val="22"/>
                <w:szCs w:val="22"/>
                <w:lang w:val="en-US"/>
              </w:rPr>
              <w:t>08-09.02.16</w:t>
            </w:r>
          </w:p>
        </w:tc>
        <w:tc>
          <w:tcPr>
            <w:tcW w:w="1620" w:type="dxa"/>
            <w:tcBorders>
              <w:left w:val="none" w:sz="0" w:space="0" w:color="auto"/>
              <w:right w:val="none" w:sz="0" w:space="0" w:color="auto"/>
            </w:tcBorders>
            <w:shd w:val="clear" w:color="auto" w:fill="auto"/>
            <w:vAlign w:val="center"/>
          </w:tcPr>
          <w:p w:rsidR="007C6E3F" w:rsidRPr="00631357" w:rsidRDefault="007C6E3F" w:rsidP="00A20E39">
            <w:pPr>
              <w:pStyle w:val="Captio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color w:val="000000" w:themeColor="text1"/>
                <w:sz w:val="22"/>
                <w:szCs w:val="22"/>
                <w:lang w:val="en-US"/>
              </w:rPr>
            </w:pPr>
            <w:r w:rsidRPr="00631357">
              <w:rPr>
                <w:rFonts w:ascii="Times New Roman" w:hAnsi="Times New Roman" w:cs="Times New Roman"/>
                <w:i w:val="0"/>
                <w:color w:val="000000" w:themeColor="text1"/>
                <w:sz w:val="22"/>
                <w:szCs w:val="22"/>
                <w:lang w:val="en-US"/>
              </w:rPr>
              <w:t>21</w:t>
            </w:r>
          </w:p>
        </w:tc>
        <w:tc>
          <w:tcPr>
            <w:tcW w:w="4425" w:type="dxa"/>
            <w:tcBorders>
              <w:left w:val="none" w:sz="0" w:space="0" w:color="auto"/>
              <w:right w:val="none" w:sz="0" w:space="0" w:color="auto"/>
            </w:tcBorders>
            <w:shd w:val="clear" w:color="auto" w:fill="auto"/>
            <w:vAlign w:val="center"/>
          </w:tcPr>
          <w:p w:rsidR="007C6E3F" w:rsidRPr="00631357" w:rsidRDefault="007C6E3F" w:rsidP="00A20E39">
            <w:pPr>
              <w:pStyle w:val="Caption"/>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color w:val="000000" w:themeColor="text1"/>
                <w:sz w:val="22"/>
                <w:szCs w:val="22"/>
                <w:lang w:val="en-US"/>
              </w:rPr>
            </w:pPr>
            <w:r w:rsidRPr="00631357">
              <w:rPr>
                <w:rFonts w:ascii="Times New Roman" w:hAnsi="Times New Roman" w:cs="Times New Roman"/>
                <w:i w:val="0"/>
                <w:color w:val="000000" w:themeColor="text1"/>
                <w:sz w:val="22"/>
                <w:szCs w:val="22"/>
                <w:lang w:val="en-US"/>
              </w:rPr>
              <w:t>Akhuryan, Hacik, Nor Kyank, Zuygaghbyur, Tavshut, Bavra, Arapi, Aregnadem, Sizavet, Haykasar, Krasar, Shirakavan, Musayelyan, Hartashen, Karmravan, Goghovit, PokrSepasar, Jrapi, Amasia, Mets Sepasar</w:t>
            </w:r>
          </w:p>
        </w:tc>
      </w:tr>
      <w:tr w:rsidR="007C6E3F" w:rsidRPr="0037505A" w:rsidTr="007C6E3F">
        <w:trPr>
          <w:trHeight w:val="251"/>
        </w:trPr>
        <w:tc>
          <w:tcPr>
            <w:cnfStyle w:val="001000000000" w:firstRow="0" w:lastRow="0" w:firstColumn="1" w:lastColumn="0" w:oddVBand="0" w:evenVBand="0" w:oddHBand="0" w:evenHBand="0" w:firstRowFirstColumn="0" w:firstRowLastColumn="0" w:lastRowFirstColumn="0" w:lastRowLastColumn="0"/>
            <w:tcW w:w="1604" w:type="dxa"/>
            <w:shd w:val="clear" w:color="auto" w:fill="auto"/>
            <w:vAlign w:val="center"/>
          </w:tcPr>
          <w:p w:rsidR="007C6E3F" w:rsidRPr="00631357" w:rsidRDefault="007C6E3F" w:rsidP="00A20E39">
            <w:pPr>
              <w:pStyle w:val="Caption"/>
              <w:spacing w:line="360" w:lineRule="auto"/>
              <w:rPr>
                <w:rFonts w:ascii="Times New Roman" w:hAnsi="Times New Roman" w:cs="Times New Roman"/>
                <w:b w:val="0"/>
                <w:i w:val="0"/>
                <w:color w:val="000000" w:themeColor="text1"/>
                <w:sz w:val="22"/>
                <w:szCs w:val="22"/>
                <w:lang w:val="en-US"/>
              </w:rPr>
            </w:pPr>
            <w:r w:rsidRPr="00631357">
              <w:rPr>
                <w:rFonts w:ascii="Times New Roman" w:hAnsi="Times New Roman" w:cs="Times New Roman"/>
                <w:b w:val="0"/>
                <w:i w:val="0"/>
                <w:color w:val="000000" w:themeColor="text1"/>
                <w:sz w:val="22"/>
                <w:szCs w:val="22"/>
                <w:lang w:val="en-US"/>
              </w:rPr>
              <w:t>Lori</w:t>
            </w:r>
          </w:p>
        </w:tc>
        <w:tc>
          <w:tcPr>
            <w:tcW w:w="1710" w:type="dxa"/>
            <w:shd w:val="clear" w:color="auto" w:fill="auto"/>
            <w:vAlign w:val="center"/>
          </w:tcPr>
          <w:p w:rsidR="007C6E3F" w:rsidRPr="00631357" w:rsidRDefault="007C6E3F" w:rsidP="00A20E39">
            <w:pPr>
              <w:pStyle w:val="Captio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000000" w:themeColor="text1"/>
                <w:sz w:val="22"/>
                <w:szCs w:val="22"/>
                <w:lang w:val="en-US"/>
              </w:rPr>
            </w:pPr>
            <w:r w:rsidRPr="00631357">
              <w:rPr>
                <w:rFonts w:ascii="Times New Roman" w:hAnsi="Times New Roman" w:cs="Times New Roman"/>
                <w:i w:val="0"/>
                <w:color w:val="000000" w:themeColor="text1"/>
                <w:sz w:val="22"/>
                <w:szCs w:val="22"/>
                <w:lang w:val="en-US"/>
              </w:rPr>
              <w:t>10.02.16</w:t>
            </w:r>
          </w:p>
        </w:tc>
        <w:tc>
          <w:tcPr>
            <w:tcW w:w="1620" w:type="dxa"/>
            <w:shd w:val="clear" w:color="auto" w:fill="auto"/>
            <w:vAlign w:val="center"/>
          </w:tcPr>
          <w:p w:rsidR="007C6E3F" w:rsidRPr="00631357" w:rsidRDefault="007C6E3F" w:rsidP="00A20E39">
            <w:pPr>
              <w:pStyle w:val="Captio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000000" w:themeColor="text1"/>
                <w:sz w:val="22"/>
                <w:szCs w:val="22"/>
                <w:lang w:val="en-US"/>
              </w:rPr>
            </w:pPr>
            <w:r w:rsidRPr="00631357">
              <w:rPr>
                <w:rFonts w:ascii="Times New Roman" w:hAnsi="Times New Roman" w:cs="Times New Roman"/>
                <w:i w:val="0"/>
                <w:color w:val="000000" w:themeColor="text1"/>
                <w:sz w:val="22"/>
                <w:szCs w:val="22"/>
                <w:lang w:val="en-US"/>
              </w:rPr>
              <w:t>15</w:t>
            </w:r>
          </w:p>
        </w:tc>
        <w:tc>
          <w:tcPr>
            <w:tcW w:w="4425" w:type="dxa"/>
            <w:shd w:val="clear" w:color="auto" w:fill="auto"/>
            <w:vAlign w:val="center"/>
          </w:tcPr>
          <w:p w:rsidR="007C6E3F" w:rsidRPr="00631357" w:rsidRDefault="007C6E3F" w:rsidP="00A20E39">
            <w:pPr>
              <w:pStyle w:val="Caption"/>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000000" w:themeColor="text1"/>
                <w:sz w:val="22"/>
                <w:szCs w:val="22"/>
                <w:lang w:val="en-US"/>
              </w:rPr>
            </w:pPr>
            <w:r w:rsidRPr="00631357">
              <w:rPr>
                <w:rFonts w:ascii="Times New Roman" w:hAnsi="Times New Roman" w:cs="Times New Roman"/>
                <w:i w:val="0"/>
                <w:color w:val="000000" w:themeColor="text1"/>
                <w:sz w:val="22"/>
                <w:szCs w:val="22"/>
                <w:lang w:val="en-US"/>
              </w:rPr>
              <w:t>Mets Parni, Gargar, Koghes, Vardablur, Bovadzor, Kurtan, Mets Ayurm, Lernantck</w:t>
            </w:r>
          </w:p>
        </w:tc>
      </w:tr>
      <w:tr w:rsidR="007C6E3F" w:rsidRPr="0037505A" w:rsidTr="007C6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Borders>
              <w:left w:val="none" w:sz="0" w:space="0" w:color="auto"/>
              <w:right w:val="none" w:sz="0" w:space="0" w:color="auto"/>
            </w:tcBorders>
            <w:shd w:val="clear" w:color="auto" w:fill="auto"/>
            <w:vAlign w:val="center"/>
          </w:tcPr>
          <w:p w:rsidR="007C6E3F" w:rsidRPr="00631357" w:rsidRDefault="007C6E3F" w:rsidP="00A20E39">
            <w:pPr>
              <w:pStyle w:val="Caption"/>
              <w:spacing w:line="360" w:lineRule="auto"/>
              <w:rPr>
                <w:rFonts w:ascii="Times New Roman" w:hAnsi="Times New Roman" w:cs="Times New Roman"/>
                <w:b w:val="0"/>
                <w:i w:val="0"/>
                <w:color w:val="000000" w:themeColor="text1"/>
                <w:sz w:val="22"/>
                <w:szCs w:val="22"/>
                <w:lang w:val="en-US"/>
              </w:rPr>
            </w:pPr>
            <w:r w:rsidRPr="00631357">
              <w:rPr>
                <w:rFonts w:ascii="Times New Roman" w:hAnsi="Times New Roman" w:cs="Times New Roman"/>
                <w:b w:val="0"/>
                <w:i w:val="0"/>
                <w:color w:val="000000" w:themeColor="text1"/>
                <w:sz w:val="22"/>
                <w:szCs w:val="22"/>
                <w:lang w:val="en-US"/>
              </w:rPr>
              <w:t>Aragatsotn</w:t>
            </w:r>
          </w:p>
        </w:tc>
        <w:tc>
          <w:tcPr>
            <w:tcW w:w="1710" w:type="dxa"/>
            <w:vMerge w:val="restart"/>
            <w:tcBorders>
              <w:left w:val="none" w:sz="0" w:space="0" w:color="auto"/>
              <w:right w:val="none" w:sz="0" w:space="0" w:color="auto"/>
            </w:tcBorders>
            <w:shd w:val="clear" w:color="auto" w:fill="auto"/>
            <w:vAlign w:val="center"/>
          </w:tcPr>
          <w:p w:rsidR="007C6E3F" w:rsidRPr="00631357" w:rsidRDefault="007C6E3F" w:rsidP="00A20E39">
            <w:pPr>
              <w:pStyle w:val="Captio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color w:val="000000" w:themeColor="text1"/>
                <w:sz w:val="22"/>
                <w:szCs w:val="22"/>
                <w:lang w:val="en-US"/>
              </w:rPr>
            </w:pPr>
            <w:r w:rsidRPr="00631357">
              <w:rPr>
                <w:rFonts w:ascii="Times New Roman" w:hAnsi="Times New Roman" w:cs="Times New Roman"/>
                <w:i w:val="0"/>
                <w:color w:val="000000" w:themeColor="text1"/>
                <w:sz w:val="22"/>
                <w:szCs w:val="22"/>
                <w:lang w:val="en-US"/>
              </w:rPr>
              <w:t>11.02.16</w:t>
            </w:r>
          </w:p>
        </w:tc>
        <w:tc>
          <w:tcPr>
            <w:tcW w:w="1620" w:type="dxa"/>
            <w:tcBorders>
              <w:left w:val="none" w:sz="0" w:space="0" w:color="auto"/>
              <w:right w:val="none" w:sz="0" w:space="0" w:color="auto"/>
            </w:tcBorders>
            <w:shd w:val="clear" w:color="auto" w:fill="auto"/>
            <w:vAlign w:val="center"/>
          </w:tcPr>
          <w:p w:rsidR="007C6E3F" w:rsidRPr="00631357" w:rsidRDefault="007C6E3F" w:rsidP="00A20E39">
            <w:pPr>
              <w:pStyle w:val="Captio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color w:val="000000" w:themeColor="text1"/>
                <w:sz w:val="22"/>
                <w:szCs w:val="22"/>
                <w:lang w:val="en-US"/>
              </w:rPr>
            </w:pPr>
            <w:r w:rsidRPr="00631357">
              <w:rPr>
                <w:rFonts w:ascii="Times New Roman" w:hAnsi="Times New Roman" w:cs="Times New Roman"/>
                <w:i w:val="0"/>
                <w:color w:val="000000" w:themeColor="text1"/>
                <w:sz w:val="22"/>
                <w:szCs w:val="22"/>
                <w:lang w:val="en-US"/>
              </w:rPr>
              <w:t>8</w:t>
            </w:r>
          </w:p>
        </w:tc>
        <w:tc>
          <w:tcPr>
            <w:tcW w:w="4425" w:type="dxa"/>
            <w:tcBorders>
              <w:left w:val="none" w:sz="0" w:space="0" w:color="auto"/>
              <w:right w:val="none" w:sz="0" w:space="0" w:color="auto"/>
            </w:tcBorders>
            <w:shd w:val="clear" w:color="auto" w:fill="auto"/>
            <w:vAlign w:val="center"/>
          </w:tcPr>
          <w:p w:rsidR="007C6E3F" w:rsidRPr="00631357" w:rsidRDefault="007C6E3F" w:rsidP="00A20E39">
            <w:pPr>
              <w:pStyle w:val="Captio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color w:val="000000" w:themeColor="text1"/>
                <w:sz w:val="22"/>
                <w:szCs w:val="22"/>
                <w:lang w:val="en-US"/>
              </w:rPr>
            </w:pPr>
            <w:r w:rsidRPr="00631357">
              <w:rPr>
                <w:rFonts w:ascii="Times New Roman" w:hAnsi="Times New Roman" w:cs="Times New Roman"/>
                <w:i w:val="0"/>
                <w:color w:val="000000" w:themeColor="text1"/>
                <w:sz w:val="22"/>
                <w:szCs w:val="22"/>
                <w:lang w:val="en-US"/>
              </w:rPr>
              <w:t>Suser, Nor Artik, Zarinja, Tatul, Zovasar</w:t>
            </w:r>
          </w:p>
        </w:tc>
      </w:tr>
      <w:tr w:rsidR="007C6E3F" w:rsidRPr="0037505A" w:rsidTr="007C6E3F">
        <w:trPr>
          <w:trHeight w:val="389"/>
        </w:trPr>
        <w:tc>
          <w:tcPr>
            <w:cnfStyle w:val="001000000000" w:firstRow="0" w:lastRow="0" w:firstColumn="1" w:lastColumn="0" w:oddVBand="0" w:evenVBand="0" w:oddHBand="0" w:evenHBand="0" w:firstRowFirstColumn="0" w:firstRowLastColumn="0" w:lastRowFirstColumn="0" w:lastRowLastColumn="0"/>
            <w:tcW w:w="1604" w:type="dxa"/>
            <w:shd w:val="clear" w:color="auto" w:fill="auto"/>
            <w:vAlign w:val="center"/>
          </w:tcPr>
          <w:p w:rsidR="007C6E3F" w:rsidRPr="00631357" w:rsidRDefault="007C6E3F" w:rsidP="00A20E39">
            <w:pPr>
              <w:pStyle w:val="Caption"/>
              <w:spacing w:line="360" w:lineRule="auto"/>
              <w:rPr>
                <w:rFonts w:ascii="Times New Roman" w:hAnsi="Times New Roman" w:cs="Times New Roman"/>
                <w:b w:val="0"/>
                <w:i w:val="0"/>
                <w:color w:val="000000" w:themeColor="text1"/>
                <w:sz w:val="22"/>
                <w:szCs w:val="22"/>
                <w:lang w:val="en-US"/>
              </w:rPr>
            </w:pPr>
            <w:r w:rsidRPr="00631357">
              <w:rPr>
                <w:rFonts w:ascii="Times New Roman" w:hAnsi="Times New Roman" w:cs="Times New Roman"/>
                <w:b w:val="0"/>
                <w:i w:val="0"/>
                <w:color w:val="000000" w:themeColor="text1"/>
                <w:sz w:val="22"/>
                <w:szCs w:val="22"/>
                <w:lang w:val="en-US"/>
              </w:rPr>
              <w:t>Ararat</w:t>
            </w:r>
          </w:p>
        </w:tc>
        <w:tc>
          <w:tcPr>
            <w:tcW w:w="1710" w:type="dxa"/>
            <w:vMerge/>
            <w:shd w:val="clear" w:color="auto" w:fill="auto"/>
            <w:vAlign w:val="center"/>
          </w:tcPr>
          <w:p w:rsidR="007C6E3F" w:rsidRPr="00631357" w:rsidRDefault="007C6E3F" w:rsidP="00A20E39">
            <w:pPr>
              <w:pStyle w:val="Caption"/>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color w:val="000000" w:themeColor="text1"/>
                <w:sz w:val="22"/>
                <w:szCs w:val="22"/>
                <w:lang w:val="en-US"/>
              </w:rPr>
            </w:pPr>
          </w:p>
        </w:tc>
        <w:tc>
          <w:tcPr>
            <w:tcW w:w="1620" w:type="dxa"/>
            <w:shd w:val="clear" w:color="auto" w:fill="auto"/>
            <w:vAlign w:val="center"/>
          </w:tcPr>
          <w:p w:rsidR="007C6E3F" w:rsidRPr="00631357" w:rsidRDefault="007C6E3F" w:rsidP="00A20E39">
            <w:pPr>
              <w:pStyle w:val="Captio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000000" w:themeColor="text1"/>
                <w:sz w:val="22"/>
                <w:szCs w:val="22"/>
                <w:lang w:val="en-US"/>
              </w:rPr>
            </w:pPr>
            <w:r w:rsidRPr="00631357">
              <w:rPr>
                <w:rFonts w:ascii="Times New Roman" w:hAnsi="Times New Roman" w:cs="Times New Roman"/>
                <w:i w:val="0"/>
                <w:color w:val="000000" w:themeColor="text1"/>
                <w:sz w:val="22"/>
                <w:szCs w:val="22"/>
                <w:lang w:val="en-US"/>
              </w:rPr>
              <w:t>4</w:t>
            </w:r>
          </w:p>
        </w:tc>
        <w:tc>
          <w:tcPr>
            <w:tcW w:w="4425" w:type="dxa"/>
            <w:shd w:val="clear" w:color="auto" w:fill="auto"/>
            <w:vAlign w:val="center"/>
          </w:tcPr>
          <w:p w:rsidR="007C6E3F" w:rsidRPr="00631357" w:rsidRDefault="007C6E3F" w:rsidP="00A20E39">
            <w:pPr>
              <w:pStyle w:val="Captio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000000" w:themeColor="text1"/>
                <w:sz w:val="22"/>
                <w:szCs w:val="22"/>
                <w:lang w:val="en-US"/>
              </w:rPr>
            </w:pPr>
            <w:r w:rsidRPr="00631357">
              <w:rPr>
                <w:rFonts w:ascii="Times New Roman" w:hAnsi="Times New Roman" w:cs="Times New Roman"/>
                <w:i w:val="0"/>
                <w:color w:val="000000" w:themeColor="text1"/>
                <w:sz w:val="22"/>
                <w:szCs w:val="22"/>
                <w:lang w:val="en-US"/>
              </w:rPr>
              <w:t>Ararat</w:t>
            </w:r>
          </w:p>
        </w:tc>
      </w:tr>
      <w:tr w:rsidR="007C6E3F" w:rsidRPr="0037505A" w:rsidTr="007C6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Borders>
              <w:left w:val="none" w:sz="0" w:space="0" w:color="auto"/>
              <w:right w:val="none" w:sz="0" w:space="0" w:color="auto"/>
            </w:tcBorders>
            <w:shd w:val="clear" w:color="auto" w:fill="auto"/>
            <w:vAlign w:val="center"/>
          </w:tcPr>
          <w:p w:rsidR="007C6E3F" w:rsidRPr="00631357" w:rsidRDefault="007C6E3F" w:rsidP="00A20E39">
            <w:pPr>
              <w:pStyle w:val="Caption"/>
              <w:spacing w:line="360" w:lineRule="auto"/>
              <w:rPr>
                <w:rFonts w:ascii="Times New Roman" w:hAnsi="Times New Roman" w:cs="Times New Roman"/>
                <w:b w:val="0"/>
                <w:i w:val="0"/>
                <w:color w:val="000000" w:themeColor="text1"/>
                <w:sz w:val="22"/>
                <w:szCs w:val="22"/>
                <w:lang w:val="en-US"/>
              </w:rPr>
            </w:pPr>
            <w:r w:rsidRPr="00631357">
              <w:rPr>
                <w:rFonts w:ascii="Times New Roman" w:hAnsi="Times New Roman" w:cs="Times New Roman"/>
                <w:b w:val="0"/>
                <w:i w:val="0"/>
                <w:color w:val="000000" w:themeColor="text1"/>
                <w:sz w:val="22"/>
                <w:szCs w:val="22"/>
                <w:lang w:val="en-US"/>
              </w:rPr>
              <w:t>Gegharkunik</w:t>
            </w:r>
          </w:p>
        </w:tc>
        <w:tc>
          <w:tcPr>
            <w:tcW w:w="1710" w:type="dxa"/>
            <w:tcBorders>
              <w:left w:val="none" w:sz="0" w:space="0" w:color="auto"/>
              <w:right w:val="none" w:sz="0" w:space="0" w:color="auto"/>
            </w:tcBorders>
            <w:shd w:val="clear" w:color="auto" w:fill="auto"/>
            <w:vAlign w:val="center"/>
          </w:tcPr>
          <w:p w:rsidR="007C6E3F" w:rsidRPr="00631357" w:rsidRDefault="007C6E3F" w:rsidP="00A20E39">
            <w:pPr>
              <w:pStyle w:val="Captio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color w:val="000000" w:themeColor="text1"/>
                <w:sz w:val="22"/>
                <w:szCs w:val="22"/>
                <w:lang w:val="en-US"/>
              </w:rPr>
            </w:pPr>
            <w:r w:rsidRPr="00631357">
              <w:rPr>
                <w:rFonts w:ascii="Times New Roman" w:hAnsi="Times New Roman" w:cs="Times New Roman"/>
                <w:i w:val="0"/>
                <w:color w:val="000000" w:themeColor="text1"/>
                <w:sz w:val="22"/>
                <w:szCs w:val="22"/>
                <w:lang w:val="en-US"/>
              </w:rPr>
              <w:t>12.02.16</w:t>
            </w:r>
          </w:p>
        </w:tc>
        <w:tc>
          <w:tcPr>
            <w:tcW w:w="1620" w:type="dxa"/>
            <w:tcBorders>
              <w:left w:val="none" w:sz="0" w:space="0" w:color="auto"/>
              <w:right w:val="none" w:sz="0" w:space="0" w:color="auto"/>
            </w:tcBorders>
            <w:shd w:val="clear" w:color="auto" w:fill="auto"/>
            <w:vAlign w:val="center"/>
          </w:tcPr>
          <w:p w:rsidR="007C6E3F" w:rsidRPr="00631357" w:rsidRDefault="007C6E3F" w:rsidP="00A20E39">
            <w:pPr>
              <w:pStyle w:val="Captio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color w:val="000000" w:themeColor="text1"/>
                <w:sz w:val="22"/>
                <w:szCs w:val="22"/>
                <w:lang w:val="en-US"/>
              </w:rPr>
            </w:pPr>
            <w:r w:rsidRPr="00631357">
              <w:rPr>
                <w:rFonts w:ascii="Times New Roman" w:hAnsi="Times New Roman" w:cs="Times New Roman"/>
                <w:i w:val="0"/>
                <w:color w:val="000000" w:themeColor="text1"/>
                <w:sz w:val="22"/>
                <w:szCs w:val="22"/>
                <w:lang w:val="en-US"/>
              </w:rPr>
              <w:t>10</w:t>
            </w:r>
          </w:p>
        </w:tc>
        <w:tc>
          <w:tcPr>
            <w:tcW w:w="4425" w:type="dxa"/>
            <w:tcBorders>
              <w:left w:val="none" w:sz="0" w:space="0" w:color="auto"/>
              <w:right w:val="none" w:sz="0" w:space="0" w:color="auto"/>
            </w:tcBorders>
            <w:shd w:val="clear" w:color="auto" w:fill="auto"/>
            <w:vAlign w:val="center"/>
          </w:tcPr>
          <w:p w:rsidR="007C6E3F" w:rsidRPr="00631357" w:rsidRDefault="007C6E3F" w:rsidP="00A20E39">
            <w:pPr>
              <w:pStyle w:val="Captio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color w:val="000000" w:themeColor="text1"/>
                <w:sz w:val="22"/>
                <w:szCs w:val="22"/>
                <w:lang w:val="en-US"/>
              </w:rPr>
            </w:pPr>
            <w:r w:rsidRPr="00631357">
              <w:rPr>
                <w:rFonts w:ascii="Times New Roman" w:hAnsi="Times New Roman" w:cs="Times New Roman"/>
                <w:i w:val="0"/>
                <w:color w:val="000000" w:themeColor="text1"/>
                <w:sz w:val="22"/>
                <w:szCs w:val="22"/>
                <w:lang w:val="en-US"/>
              </w:rPr>
              <w:t>Tsovagyugh, Geghamavan, Solak, Kut, Varser</w:t>
            </w:r>
          </w:p>
        </w:tc>
      </w:tr>
    </w:tbl>
    <w:p w:rsidR="007C6E3F" w:rsidRDefault="007C6E3F" w:rsidP="007C6E3F">
      <w:pPr>
        <w:jc w:val="both"/>
        <w:rPr>
          <w:szCs w:val="24"/>
        </w:rPr>
      </w:pPr>
    </w:p>
    <w:p w:rsidR="007C6E3F" w:rsidRDefault="007C6E3F" w:rsidP="007C6E3F">
      <w:pPr>
        <w:jc w:val="both"/>
        <w:rPr>
          <w:b/>
          <w:szCs w:val="24"/>
        </w:rPr>
      </w:pPr>
      <w:r>
        <w:rPr>
          <w:szCs w:val="24"/>
        </w:rPr>
        <w:t xml:space="preserve">As a result of the business plans presentation 41 primary producer groups, of which </w:t>
      </w:r>
      <w:r w:rsidRPr="00B37E75">
        <w:rPr>
          <w:szCs w:val="24"/>
        </w:rPr>
        <w:t>34 groups of buckwheat, 4 of non-traditional vegetables, and 3 of fruit and berries</w:t>
      </w:r>
      <w:r>
        <w:rPr>
          <w:szCs w:val="24"/>
        </w:rPr>
        <w:t xml:space="preserve"> were selected as ENPARD UNDP component beneficiaries. </w:t>
      </w:r>
    </w:p>
    <w:p w:rsidR="007C6E3F" w:rsidRDefault="007C6E3F" w:rsidP="00C60AFB">
      <w:pPr>
        <w:jc w:val="both"/>
        <w:rPr>
          <w:b/>
          <w:szCs w:val="24"/>
        </w:rPr>
      </w:pPr>
    </w:p>
    <w:p w:rsidR="007C6E3F" w:rsidRPr="007F5C0C" w:rsidRDefault="007C6E3F" w:rsidP="00C60AFB">
      <w:pPr>
        <w:jc w:val="both"/>
        <w:rPr>
          <w:b/>
          <w:i/>
          <w:szCs w:val="24"/>
          <w:u w:val="single"/>
        </w:rPr>
      </w:pPr>
      <w:r w:rsidRPr="007F5C0C">
        <w:rPr>
          <w:b/>
          <w:i/>
          <w:szCs w:val="24"/>
          <w:u w:val="single"/>
        </w:rPr>
        <w:t>Buckwheat Value Chain</w:t>
      </w:r>
    </w:p>
    <w:p w:rsidR="000C7497" w:rsidRDefault="000C7497" w:rsidP="0051405D">
      <w:pPr>
        <w:pStyle w:val="BodyText2"/>
        <w:jc w:val="both"/>
        <w:rPr>
          <w:rFonts w:ascii="Times New Roman" w:hAnsi="Times New Roman"/>
          <w:bCs/>
          <w:iCs/>
          <w:sz w:val="24"/>
          <w:szCs w:val="24"/>
        </w:rPr>
      </w:pPr>
      <w:r w:rsidRPr="00573A0C">
        <w:rPr>
          <w:rFonts w:ascii="Times New Roman" w:hAnsi="Times New Roman"/>
          <w:b/>
          <w:bCs/>
          <w:iCs/>
          <w:sz w:val="24"/>
          <w:szCs w:val="24"/>
        </w:rPr>
        <w:t>Soil analysis</w:t>
      </w:r>
      <w:r>
        <w:rPr>
          <w:rFonts w:ascii="Times New Roman" w:hAnsi="Times New Roman"/>
          <w:bCs/>
          <w:iCs/>
          <w:sz w:val="24"/>
          <w:szCs w:val="24"/>
        </w:rPr>
        <w:t xml:space="preserve"> was conducted by a subcontract company taking into attention soil samples from all the communities planning to sow buckwheat, and based on the analysis results, necessary recommendations were made to the farmers regarding usage of fertilizers and other indicators.</w:t>
      </w:r>
    </w:p>
    <w:p w:rsidR="00573A0C" w:rsidRDefault="00573A0C" w:rsidP="0051405D">
      <w:pPr>
        <w:pStyle w:val="BodyText2"/>
        <w:jc w:val="both"/>
        <w:rPr>
          <w:rFonts w:ascii="Times New Roman" w:hAnsi="Times New Roman"/>
          <w:bCs/>
          <w:iCs/>
          <w:sz w:val="24"/>
          <w:szCs w:val="24"/>
        </w:rPr>
      </w:pPr>
    </w:p>
    <w:p w:rsidR="00573A0C" w:rsidRDefault="00573A0C" w:rsidP="0051405D">
      <w:pPr>
        <w:jc w:val="both"/>
      </w:pPr>
      <w:r w:rsidRPr="00590BE0">
        <w:rPr>
          <w:b/>
        </w:rPr>
        <w:t>Buckwheat seeds and fertilizers</w:t>
      </w:r>
      <w:r>
        <w:rPr>
          <w:b/>
        </w:rPr>
        <w:t xml:space="preserve"> </w:t>
      </w:r>
      <w:r>
        <w:t xml:space="preserve">were imported and distributed to the buckwheat primary production groups. In total, 45 tons (43.8 tons for sowing and 1.2 tons reserve) of seeds and 164.1 tons of fertilizers were distributed to the groups. </w:t>
      </w:r>
      <w:r>
        <w:rPr>
          <w:bCs/>
          <w:iCs/>
          <w:szCs w:val="24"/>
        </w:rPr>
        <w:t xml:space="preserve">In total 547 ha of buckwheat was sown. </w:t>
      </w:r>
      <w:r>
        <w:t xml:space="preserve">Several buckwheat communities suffered hail damage, and were supplied with the surplus seeds purchased.  </w:t>
      </w:r>
    </w:p>
    <w:p w:rsidR="00573A0C" w:rsidRDefault="00573A0C" w:rsidP="0051405D">
      <w:pPr>
        <w:jc w:val="both"/>
      </w:pPr>
    </w:p>
    <w:p w:rsidR="00573A0C" w:rsidRDefault="00573A0C" w:rsidP="0051405D">
      <w:pPr>
        <w:jc w:val="both"/>
      </w:pPr>
      <w:r w:rsidRPr="005F7BDB">
        <w:rPr>
          <w:b/>
        </w:rPr>
        <w:t>Humidity meters</w:t>
      </w:r>
      <w:r w:rsidRPr="005F7BDB">
        <w:t xml:space="preserve"> (for testing the moisture level of the buckwheat before delivery to </w:t>
      </w:r>
      <w:r w:rsidRPr="0054060E">
        <w:t>the hulling factory) were purchased delivered to the cooperatives, following their registration.</w:t>
      </w:r>
    </w:p>
    <w:p w:rsidR="00573A0C" w:rsidRDefault="00573A0C" w:rsidP="0051405D">
      <w:pPr>
        <w:jc w:val="both"/>
      </w:pPr>
    </w:p>
    <w:p w:rsidR="00573A0C" w:rsidRPr="009059D8" w:rsidRDefault="00573A0C" w:rsidP="0051405D">
      <w:pPr>
        <w:jc w:val="both"/>
      </w:pPr>
      <w:r w:rsidRPr="00573A0C">
        <w:rPr>
          <w:b/>
        </w:rPr>
        <w:t>Two international consultants</w:t>
      </w:r>
      <w:r w:rsidRPr="009059D8">
        <w:t xml:space="preserve"> from Russia arrived in Armenia and provided trainings on buckwheat cultivation, methods of operating and adjusting tractors, seeding machines and combines</w:t>
      </w:r>
      <w:r>
        <w:t>,</w:t>
      </w:r>
      <w:r w:rsidRPr="009059D8">
        <w:t xml:space="preserve"> to ensure high yield and the efficient collection of buckwheat from the fields.</w:t>
      </w:r>
      <w:r>
        <w:t xml:space="preserve"> One of the consultants was an </w:t>
      </w:r>
      <w:r w:rsidRPr="00573A0C">
        <w:rPr>
          <w:b/>
        </w:rPr>
        <w:t>expert in agronomy</w:t>
      </w:r>
      <w:r>
        <w:t xml:space="preserve"> (and returned for a follow up training later in the season), and the other is an </w:t>
      </w:r>
      <w:r w:rsidRPr="00573A0C">
        <w:rPr>
          <w:b/>
        </w:rPr>
        <w:t>agricultural mechanic.</w:t>
      </w:r>
      <w:r>
        <w:t xml:space="preserve"> Many of the buckwheat farmers were continually in contact with the consultants throughout the year by telephone. The impact of the training was evident in the yields of those farmers who most closely followed the production advice.</w:t>
      </w:r>
    </w:p>
    <w:p w:rsidR="00573A0C" w:rsidRDefault="00573A0C" w:rsidP="0051405D">
      <w:pPr>
        <w:jc w:val="both"/>
      </w:pPr>
    </w:p>
    <w:p w:rsidR="00573A0C" w:rsidRDefault="00573A0C" w:rsidP="0051405D">
      <w:pPr>
        <w:jc w:val="both"/>
      </w:pPr>
      <w:r>
        <w:rPr>
          <w:b/>
        </w:rPr>
        <w:t xml:space="preserve">The </w:t>
      </w:r>
      <w:r w:rsidRPr="00573A0C">
        <w:rPr>
          <w:b/>
        </w:rPr>
        <w:t>buckwheat harvest</w:t>
      </w:r>
      <w:r>
        <w:t xml:space="preserve"> was complete in August-September. The f</w:t>
      </w:r>
      <w:r w:rsidRPr="005F7BDB">
        <w:t xml:space="preserve">armers </w:t>
      </w:r>
      <w:r>
        <w:t xml:space="preserve">have </w:t>
      </w:r>
      <w:r w:rsidRPr="005F7BDB">
        <w:t>store</w:t>
      </w:r>
      <w:r>
        <w:t>d</w:t>
      </w:r>
      <w:r w:rsidRPr="005F7BDB">
        <w:t xml:space="preserve"> the buckwheat in their communities, awaiting the construction and launch of the hulling factories. The average yield </w:t>
      </w:r>
      <w:r>
        <w:t xml:space="preserve">attained was </w:t>
      </w:r>
      <w:r w:rsidRPr="005F7BDB">
        <w:t>1,204 kg</w:t>
      </w:r>
      <w:r>
        <w:t xml:space="preserve">/ha </w:t>
      </w:r>
      <w:r w:rsidRPr="005F7BDB">
        <w:t xml:space="preserve">(compared to an average yield of under 1 ton/ha in Russia), and a total production of 615,309 kg. The highest yields </w:t>
      </w:r>
      <w:r w:rsidRPr="005F7BDB">
        <w:lastRenderedPageBreak/>
        <w:t xml:space="preserve">were recorded in the </w:t>
      </w:r>
      <w:r>
        <w:t xml:space="preserve">Bavra region, at 3 tons/ha. The majority of the </w:t>
      </w:r>
      <w:r w:rsidRPr="005F7BDB">
        <w:t>hail affected fields were able to harvest around 550 kg/ha, sufficient to cover production costs and prevent the households from accumulating debt.</w:t>
      </w:r>
    </w:p>
    <w:p w:rsidR="00573A0C" w:rsidRDefault="00573A0C" w:rsidP="0051405D">
      <w:pPr>
        <w:jc w:val="both"/>
      </w:pPr>
    </w:p>
    <w:p w:rsidR="00573A0C" w:rsidRPr="00454526" w:rsidRDefault="00573A0C" w:rsidP="0051405D">
      <w:pPr>
        <w:jc w:val="both"/>
      </w:pPr>
      <w:r>
        <w:t xml:space="preserve">While no producer group received support specifically in honey production, beekeepers in the communities were recommended to move hives near to the buckwheat fields to improve pollination.  </w:t>
      </w:r>
      <w:r w:rsidRPr="00B84250">
        <w:rPr>
          <w:b/>
        </w:rPr>
        <w:t xml:space="preserve">A beekeeping and honey production consultant </w:t>
      </w:r>
      <w:r w:rsidRPr="00B84250">
        <w:t>was contracted to</w:t>
      </w:r>
      <w:r>
        <w:t xml:space="preserve"> deliver the practice-based trainings to the beekeepers in communities cultivating buckwheat. By improving their practices, reducing their costs and hive losses, and increasing their honey yields, the beekeepers will be incentivized to continue to provide their hives to pollinate the buckwheat fields. </w:t>
      </w:r>
      <w:r w:rsidR="00B84250">
        <w:t>Four</w:t>
      </w:r>
      <w:r>
        <w:t xml:space="preserve"> of the planned training modules have already been delivered to the 118 beekeepers in 33 buckwheat producing communities, who moved hives nearer the fields. </w:t>
      </w:r>
    </w:p>
    <w:p w:rsidR="00573A0C" w:rsidRDefault="00573A0C" w:rsidP="0051405D">
      <w:pPr>
        <w:jc w:val="both"/>
      </w:pPr>
    </w:p>
    <w:p w:rsidR="00573A0C" w:rsidRDefault="00573A0C" w:rsidP="0051405D">
      <w:pPr>
        <w:pStyle w:val="BodyText2"/>
        <w:jc w:val="both"/>
        <w:rPr>
          <w:rFonts w:ascii="Times New Roman" w:hAnsi="Times New Roman"/>
          <w:bCs/>
          <w:iCs/>
          <w:sz w:val="24"/>
          <w:szCs w:val="24"/>
        </w:rPr>
      </w:pPr>
      <w:r w:rsidRPr="00573A0C">
        <w:rPr>
          <w:rFonts w:ascii="Times New Roman" w:hAnsi="Times New Roman"/>
          <w:b/>
          <w:bCs/>
          <w:iCs/>
          <w:sz w:val="24"/>
          <w:szCs w:val="24"/>
        </w:rPr>
        <w:t>T</w:t>
      </w:r>
      <w:r w:rsidR="007C6E3F" w:rsidRPr="00573A0C">
        <w:rPr>
          <w:rFonts w:ascii="Times New Roman" w:hAnsi="Times New Roman"/>
          <w:b/>
          <w:bCs/>
          <w:iCs/>
          <w:sz w:val="24"/>
          <w:szCs w:val="24"/>
        </w:rPr>
        <w:t>wo buckwheat hulling factories</w:t>
      </w:r>
      <w:r>
        <w:rPr>
          <w:rFonts w:ascii="Times New Roman" w:hAnsi="Times New Roman"/>
          <w:bCs/>
          <w:iCs/>
          <w:sz w:val="24"/>
          <w:szCs w:val="24"/>
        </w:rPr>
        <w:t xml:space="preserve"> are constructed in Tsovagyugh and Bavra communities</w:t>
      </w:r>
      <w:r w:rsidR="007C6E3F">
        <w:rPr>
          <w:rFonts w:ascii="Times New Roman" w:hAnsi="Times New Roman"/>
          <w:bCs/>
          <w:iCs/>
          <w:sz w:val="24"/>
          <w:szCs w:val="24"/>
        </w:rPr>
        <w:t xml:space="preserve"> (</w:t>
      </w:r>
      <w:r>
        <w:rPr>
          <w:rFonts w:ascii="Times New Roman" w:hAnsi="Times New Roman"/>
          <w:bCs/>
          <w:iCs/>
          <w:sz w:val="24"/>
          <w:szCs w:val="24"/>
        </w:rPr>
        <w:t xml:space="preserve">with </w:t>
      </w:r>
      <w:r w:rsidR="007C6E3F">
        <w:rPr>
          <w:rFonts w:ascii="Times New Roman" w:hAnsi="Times New Roman"/>
          <w:bCs/>
          <w:iCs/>
          <w:sz w:val="24"/>
          <w:szCs w:val="24"/>
        </w:rPr>
        <w:t>ENPARD UNIDO component</w:t>
      </w:r>
      <w:r>
        <w:rPr>
          <w:rFonts w:ascii="Times New Roman" w:hAnsi="Times New Roman"/>
          <w:bCs/>
          <w:iCs/>
          <w:sz w:val="24"/>
          <w:szCs w:val="24"/>
        </w:rPr>
        <w:t xml:space="preserve"> as a lead partner</w:t>
      </w:r>
      <w:r w:rsidR="007C6E3F">
        <w:rPr>
          <w:rFonts w:ascii="Times New Roman" w:hAnsi="Times New Roman"/>
          <w:bCs/>
          <w:iCs/>
          <w:sz w:val="24"/>
          <w:szCs w:val="24"/>
        </w:rPr>
        <w:t xml:space="preserve">). </w:t>
      </w:r>
      <w:r>
        <w:rPr>
          <w:rFonts w:ascii="Times New Roman" w:hAnsi="Times New Roman"/>
          <w:bCs/>
          <w:iCs/>
          <w:sz w:val="24"/>
          <w:szCs w:val="24"/>
        </w:rPr>
        <w:t xml:space="preserve">Both factories became operational in December 2016. UNDP component also supported in procurement and installation of </w:t>
      </w:r>
      <w:r w:rsidRPr="00573A0C">
        <w:rPr>
          <w:rFonts w:ascii="Times New Roman" w:hAnsi="Times New Roman"/>
          <w:b/>
          <w:bCs/>
          <w:iCs/>
          <w:sz w:val="24"/>
          <w:szCs w:val="24"/>
        </w:rPr>
        <w:t>truck scales</w:t>
      </w:r>
      <w:r>
        <w:rPr>
          <w:rFonts w:ascii="Times New Roman" w:hAnsi="Times New Roman"/>
          <w:bCs/>
          <w:iCs/>
          <w:sz w:val="24"/>
          <w:szCs w:val="24"/>
        </w:rPr>
        <w:t xml:space="preserve"> near the factories, where each primary cooperative will weigh their harvest and then unload in into the factory. The installation of both scales is complete in December 2016. </w:t>
      </w:r>
    </w:p>
    <w:p w:rsidR="00573A0C" w:rsidRDefault="00573A0C" w:rsidP="0051405D">
      <w:pPr>
        <w:pStyle w:val="BodyText2"/>
        <w:jc w:val="both"/>
        <w:rPr>
          <w:rFonts w:ascii="Times New Roman" w:hAnsi="Times New Roman"/>
          <w:bCs/>
          <w:iCs/>
          <w:sz w:val="24"/>
          <w:szCs w:val="24"/>
        </w:rPr>
      </w:pPr>
    </w:p>
    <w:p w:rsidR="00B84250" w:rsidRDefault="00B84250" w:rsidP="0051405D">
      <w:pPr>
        <w:jc w:val="both"/>
        <w:rPr>
          <w:b/>
          <w:szCs w:val="24"/>
        </w:rPr>
      </w:pPr>
      <w:r>
        <w:rPr>
          <w:b/>
        </w:rPr>
        <w:t xml:space="preserve">A </w:t>
      </w:r>
      <w:r w:rsidRPr="00672B5E">
        <w:rPr>
          <w:b/>
        </w:rPr>
        <w:t>Factory operations consultant for the buckwheat factories</w:t>
      </w:r>
      <w:r>
        <w:rPr>
          <w:b/>
        </w:rPr>
        <w:t xml:space="preserve"> </w:t>
      </w:r>
      <w:r w:rsidRPr="00672B5E">
        <w:t xml:space="preserve">was recruited to </w:t>
      </w:r>
      <w:r>
        <w:t>organize the business processes, work with each primary production group and and select staff for the factories</w:t>
      </w:r>
      <w:r w:rsidRPr="00672B5E">
        <w:t>. Her responsibilities include supporting the board of the cooperatives to hire employees, establishing procedures for receiving, hulling, storing and marketing buckwheat, and ensuring that all processes are well documented and integrated into the accounting system.</w:t>
      </w:r>
      <w:r>
        <w:t xml:space="preserve"> </w:t>
      </w:r>
      <w:r w:rsidRPr="00672B5E">
        <w:t xml:space="preserve">The operations consultant has developed the job descriptions of the positions necessary to operate the buckwheat hulling factories. Announcements were distributed to the groups, and 11 applications received for the Tsovaghyugh factory. </w:t>
      </w:r>
      <w:r w:rsidRPr="0042693C">
        <w:rPr>
          <w:iCs/>
          <w:lang w:val="hy-AM"/>
        </w:rPr>
        <w:t xml:space="preserve">The consultant </w:t>
      </w:r>
      <w:r>
        <w:rPr>
          <w:iCs/>
        </w:rPr>
        <w:t>and</w:t>
      </w:r>
      <w:r w:rsidRPr="0042693C">
        <w:rPr>
          <w:iCs/>
          <w:lang w:val="hy-AM"/>
        </w:rPr>
        <w:t xml:space="preserve"> buckwheat field operations manager conducted interviews </w:t>
      </w:r>
      <w:r>
        <w:rPr>
          <w:iCs/>
        </w:rPr>
        <w:t xml:space="preserve">with eight people </w:t>
      </w:r>
      <w:r w:rsidRPr="0042693C">
        <w:rPr>
          <w:iCs/>
          <w:lang w:val="hy-AM"/>
        </w:rPr>
        <w:t>in</w:t>
      </w:r>
      <w:r>
        <w:rPr>
          <w:iCs/>
        </w:rPr>
        <w:t xml:space="preserve"> the</w:t>
      </w:r>
      <w:r w:rsidRPr="0042693C">
        <w:rPr>
          <w:iCs/>
          <w:lang w:val="hy-AM"/>
        </w:rPr>
        <w:t xml:space="preserve"> Tsovagyugh community for </w:t>
      </w:r>
      <w:r>
        <w:rPr>
          <w:iCs/>
        </w:rPr>
        <w:t>the</w:t>
      </w:r>
      <w:r>
        <w:rPr>
          <w:iCs/>
          <w:lang w:val="hy-AM"/>
        </w:rPr>
        <w:t xml:space="preserve"> selection for the position of </w:t>
      </w:r>
      <w:r>
        <w:rPr>
          <w:iCs/>
        </w:rPr>
        <w:t>general m</w:t>
      </w:r>
      <w:r>
        <w:rPr>
          <w:iCs/>
          <w:lang w:val="hy-AM"/>
        </w:rPr>
        <w:t xml:space="preserve">anager, </w:t>
      </w:r>
      <w:r>
        <w:rPr>
          <w:iCs/>
        </w:rPr>
        <w:t>o</w:t>
      </w:r>
      <w:r w:rsidRPr="0042693C">
        <w:rPr>
          <w:iCs/>
          <w:lang w:val="hy-AM"/>
        </w:rPr>
        <w:t>perator and worker</w:t>
      </w:r>
      <w:r>
        <w:rPr>
          <w:iCs/>
        </w:rPr>
        <w:t>s</w:t>
      </w:r>
      <w:r>
        <w:rPr>
          <w:iCs/>
          <w:lang w:val="hy-AM"/>
        </w:rPr>
        <w:t xml:space="preserve">. </w:t>
      </w:r>
      <w:r>
        <w:rPr>
          <w:iCs/>
        </w:rPr>
        <w:t xml:space="preserve">The same process is underway for the Bavra factory. </w:t>
      </w:r>
      <w:r w:rsidRPr="0042693C">
        <w:rPr>
          <w:iCs/>
          <w:lang w:val="hy-AM"/>
        </w:rPr>
        <w:t xml:space="preserve">All of the </w:t>
      </w:r>
      <w:r w:rsidRPr="0042693C">
        <w:rPr>
          <w:iCs/>
          <w:lang w:val="hy-AM"/>
        </w:rPr>
        <w:lastRenderedPageBreak/>
        <w:t xml:space="preserve">interviwed people participate in trainings of factory operations </w:t>
      </w:r>
      <w:r>
        <w:rPr>
          <w:iCs/>
        </w:rPr>
        <w:t>during the installation and testing of the equipment by the Ukrainian technicians, and the most capable and active individuals selected for the positions</w:t>
      </w:r>
      <w:r w:rsidRPr="0042693C">
        <w:rPr>
          <w:iCs/>
          <w:lang w:val="hy-AM"/>
        </w:rPr>
        <w:t>.</w:t>
      </w:r>
      <w:r>
        <w:t xml:space="preserve"> </w:t>
      </w:r>
      <w:r w:rsidRPr="00672B5E">
        <w:t>Additionally, the accountant has develop</w:t>
      </w:r>
      <w:r>
        <w:t>ed</w:t>
      </w:r>
      <w:r w:rsidRPr="00672B5E">
        <w:t xml:space="preserve"> the system of supply of the buckwheat from the villages to the factory, </w:t>
      </w:r>
      <w:r>
        <w:t>with a method of evaluating the cleanliness and moisture level of the buckwheat, with receipts provided to all parties to ensure agreement</w:t>
      </w:r>
      <w:r w:rsidRPr="00672B5E">
        <w:t>.</w:t>
      </w:r>
      <w:r>
        <w:t xml:space="preserve"> This system will be implemented immediately following set-up of the equipment.</w:t>
      </w:r>
    </w:p>
    <w:p w:rsidR="00B84250" w:rsidRDefault="00B84250" w:rsidP="007C6E3F">
      <w:pPr>
        <w:pStyle w:val="BodyText2"/>
        <w:jc w:val="both"/>
        <w:rPr>
          <w:rFonts w:ascii="Times New Roman" w:hAnsi="Times New Roman"/>
          <w:bCs/>
          <w:iCs/>
          <w:sz w:val="24"/>
          <w:szCs w:val="24"/>
        </w:rPr>
      </w:pPr>
    </w:p>
    <w:p w:rsidR="00573A0C" w:rsidRDefault="00573A0C" w:rsidP="007C6E3F">
      <w:pPr>
        <w:pStyle w:val="BodyText2"/>
        <w:jc w:val="both"/>
        <w:rPr>
          <w:rFonts w:ascii="Times New Roman" w:hAnsi="Times New Roman"/>
          <w:bCs/>
          <w:iCs/>
          <w:sz w:val="24"/>
          <w:szCs w:val="24"/>
        </w:rPr>
      </w:pPr>
    </w:p>
    <w:p w:rsidR="00B84250" w:rsidRPr="007F5C0C" w:rsidRDefault="00B3441D" w:rsidP="00B84250">
      <w:pPr>
        <w:jc w:val="both"/>
        <w:rPr>
          <w:b/>
          <w:i/>
          <w:szCs w:val="24"/>
          <w:u w:val="single"/>
        </w:rPr>
      </w:pPr>
      <w:r>
        <w:rPr>
          <w:b/>
          <w:i/>
          <w:szCs w:val="24"/>
          <w:u w:val="single"/>
        </w:rPr>
        <w:t>Non-T</w:t>
      </w:r>
      <w:r w:rsidR="00B84250">
        <w:rPr>
          <w:b/>
          <w:i/>
          <w:szCs w:val="24"/>
          <w:u w:val="single"/>
        </w:rPr>
        <w:t>raditional Vegetable</w:t>
      </w:r>
      <w:r w:rsidR="00B84250" w:rsidRPr="007F5C0C">
        <w:rPr>
          <w:b/>
          <w:i/>
          <w:szCs w:val="24"/>
          <w:u w:val="single"/>
        </w:rPr>
        <w:t xml:space="preserve"> Value Chain</w:t>
      </w:r>
    </w:p>
    <w:p w:rsidR="000C6F74" w:rsidRDefault="000C6F74" w:rsidP="0051405D">
      <w:pPr>
        <w:jc w:val="both"/>
      </w:pPr>
      <w:r>
        <w:t>Four</w:t>
      </w:r>
      <w:r w:rsidRPr="00A04A14">
        <w:t xml:space="preserve"> energy efficient plastic (tunnel) </w:t>
      </w:r>
      <w:r w:rsidRPr="000C6F74">
        <w:rPr>
          <w:b/>
        </w:rPr>
        <w:t>greenhouses with drip irrigation</w:t>
      </w:r>
      <w:r>
        <w:t xml:space="preserve"> were installed at the sites of the four non-traditional vegetable groups, in Lori marz (Gargar, Koghes, Vardablur and Bovadzor communities). Each greenhouse has 135 square meters of growing space, and has 180 meters of drip irrigation installed. The communities expressed surprise at the very high quality of the greenhouses.</w:t>
      </w:r>
    </w:p>
    <w:p w:rsidR="000C6F74" w:rsidRDefault="000C6F74" w:rsidP="0051405D">
      <w:pPr>
        <w:jc w:val="both"/>
      </w:pPr>
    </w:p>
    <w:p w:rsidR="000C6F74" w:rsidRDefault="000C6F74" w:rsidP="0051405D">
      <w:pPr>
        <w:jc w:val="both"/>
      </w:pPr>
      <w:r w:rsidRPr="000C6F74">
        <w:rPr>
          <w:b/>
        </w:rPr>
        <w:t>Broccoli seeds</w:t>
      </w:r>
      <w:r>
        <w:t xml:space="preserve"> of four different cycle lengths, as well as some </w:t>
      </w:r>
      <w:r w:rsidRPr="000C6F74">
        <w:rPr>
          <w:b/>
        </w:rPr>
        <w:t xml:space="preserve">gardening tools </w:t>
      </w:r>
      <w:r>
        <w:t>were delivered to the broccoli producing groups. In total 180,000 seeds were delivered to the four groups. Of those delivered,</w:t>
      </w:r>
      <w:r w:rsidRPr="00590BE0">
        <w:t xml:space="preserve"> 38,500 seedlings were planted in plastic pots and placed in the g</w:t>
      </w:r>
      <w:r>
        <w:t xml:space="preserve">reenhouses in all 4 communities for the primary growing season. Some of the remaining seeds were planted for a second season, with the remainder </w:t>
      </w:r>
      <w:r w:rsidRPr="00590BE0">
        <w:t>reserved for follo</w:t>
      </w:r>
      <w:r>
        <w:t>w-up plantings next year</w:t>
      </w:r>
      <w:r w:rsidRPr="00590BE0">
        <w:t>.</w:t>
      </w:r>
    </w:p>
    <w:p w:rsidR="000C6F74" w:rsidRDefault="000C6F74" w:rsidP="0051405D">
      <w:pPr>
        <w:jc w:val="both"/>
      </w:pPr>
    </w:p>
    <w:p w:rsidR="000C6F74" w:rsidRDefault="000C6F74" w:rsidP="0051405D">
      <w:pPr>
        <w:jc w:val="both"/>
      </w:pPr>
      <w:r>
        <w:rPr>
          <w:b/>
        </w:rPr>
        <w:t>G</w:t>
      </w:r>
      <w:r w:rsidRPr="00E75E85">
        <w:rPr>
          <w:b/>
        </w:rPr>
        <w:t>uidebooks</w:t>
      </w:r>
      <w:r>
        <w:rPr>
          <w:b/>
        </w:rPr>
        <w:t xml:space="preserve"> for non-traditional vegetable production</w:t>
      </w:r>
      <w:r w:rsidRPr="00E75E85">
        <w:rPr>
          <w:b/>
        </w:rPr>
        <w:t xml:space="preserve">: </w:t>
      </w:r>
      <w:r>
        <w:t xml:space="preserve">A national consultant completed </w:t>
      </w:r>
      <w:r w:rsidRPr="00A34C69">
        <w:t>elaboration of 10 guidebooks for the production of high value crops. The guidebooks on buckwheat, leafy vegetables, gourds and high-value crops were printed and distributed among the farmers</w:t>
      </w:r>
      <w:r>
        <w:t xml:space="preserve"> and government extension agents</w:t>
      </w:r>
      <w:r w:rsidRPr="00A34C69">
        <w:t xml:space="preserve">.  </w:t>
      </w:r>
    </w:p>
    <w:p w:rsidR="000C6F74" w:rsidRDefault="000C6F74" w:rsidP="0051405D">
      <w:pPr>
        <w:jc w:val="both"/>
      </w:pPr>
    </w:p>
    <w:p w:rsidR="000C6F74" w:rsidRDefault="000C6F74" w:rsidP="0051405D">
      <w:pPr>
        <w:jc w:val="both"/>
      </w:pPr>
      <w:r>
        <w:t xml:space="preserve">Two sets of </w:t>
      </w:r>
      <w:r w:rsidRPr="000C6F74">
        <w:rPr>
          <w:b/>
        </w:rPr>
        <w:t xml:space="preserve">trainings </w:t>
      </w:r>
      <w:r>
        <w:t>were delivered to the members of the four non-traditional vegetable groups in broccoli production and greenhouse operations. The first training was provided by a consultant recruited by the project, and a second training was provided by a Farmer 2 Farmer volunteer trainer from the US, with the VISTAA program.</w:t>
      </w:r>
    </w:p>
    <w:p w:rsidR="000C6F74" w:rsidRDefault="000C6F74" w:rsidP="0051405D">
      <w:pPr>
        <w:jc w:val="both"/>
      </w:pPr>
    </w:p>
    <w:p w:rsidR="000C6F74" w:rsidRPr="005F7BDB" w:rsidRDefault="000C6F74" w:rsidP="0051405D">
      <w:pPr>
        <w:jc w:val="both"/>
      </w:pPr>
      <w:r w:rsidRPr="005F7BDB">
        <w:rPr>
          <w:b/>
        </w:rPr>
        <w:lastRenderedPageBreak/>
        <w:t>Broccoli sales:</w:t>
      </w:r>
      <w:r>
        <w:t xml:space="preserve"> An</w:t>
      </w:r>
      <w:r w:rsidRPr="005F7BDB">
        <w:t xml:space="preserve"> intermediary introduced to </w:t>
      </w:r>
      <w:r w:rsidR="000A50B1">
        <w:t>the</w:t>
      </w:r>
      <w:r w:rsidRPr="005F7BDB">
        <w:t xml:space="preserve"> non-traditional vegetable cooperatives </w:t>
      </w:r>
      <w:r>
        <w:t>purchased</w:t>
      </w:r>
      <w:r w:rsidRPr="005F7BDB">
        <w:t xml:space="preserve"> broccoli at farm-gate in the Gargar community, about once in every 5-7 days.</w:t>
      </w:r>
      <w:r w:rsidRPr="00F731E1">
        <w:rPr>
          <w:rFonts w:eastAsia="Calibri"/>
        </w:rPr>
        <w:t xml:space="preserve"> </w:t>
      </w:r>
      <w:r>
        <w:rPr>
          <w:rFonts w:eastAsia="Calibri"/>
        </w:rPr>
        <w:t>Overall eight</w:t>
      </w:r>
      <w:r w:rsidRPr="003575F2">
        <w:rPr>
          <w:rFonts w:eastAsia="Calibri"/>
        </w:rPr>
        <w:t xml:space="preserve"> tons of brocc</w:t>
      </w:r>
      <w:r>
        <w:rPr>
          <w:rFonts w:eastAsia="Calibri"/>
        </w:rPr>
        <w:t>oli was produced, out of which six</w:t>
      </w:r>
      <w:r w:rsidRPr="003575F2">
        <w:rPr>
          <w:rFonts w:eastAsia="Calibri"/>
        </w:rPr>
        <w:t xml:space="preserve"> tons was sold </w:t>
      </w:r>
      <w:r>
        <w:rPr>
          <w:rFonts w:eastAsia="Calibri"/>
        </w:rPr>
        <w:t xml:space="preserve">to the intermediary </w:t>
      </w:r>
      <w:r w:rsidRPr="003575F2">
        <w:rPr>
          <w:rFonts w:eastAsia="Calibri"/>
        </w:rPr>
        <w:t>for 450-500 AMD/kg</w:t>
      </w:r>
      <w:r>
        <w:rPr>
          <w:rFonts w:eastAsia="Calibri"/>
        </w:rPr>
        <w:t xml:space="preserve">, generating revenues of </w:t>
      </w:r>
      <w:r>
        <w:t>2.7 million AMD (</w:t>
      </w:r>
      <w:r w:rsidRPr="00F731E1">
        <w:t>5</w:t>
      </w:r>
      <w:r>
        <w:t>,</w:t>
      </w:r>
      <w:r w:rsidRPr="00F731E1">
        <w:t>183</w:t>
      </w:r>
      <w:r>
        <w:t xml:space="preserve"> euro) for the four groups</w:t>
      </w:r>
      <w:r>
        <w:rPr>
          <w:rFonts w:eastAsia="Calibri"/>
        </w:rPr>
        <w:t>. The intermediary delivered to various sales channels, with a majority being sold through Yerevan City and Carrefour supermarkets.</w:t>
      </w:r>
      <w:r>
        <w:t xml:space="preserve"> </w:t>
      </w:r>
      <w:r w:rsidRPr="005F7BDB">
        <w:t xml:space="preserve">The other </w:t>
      </w:r>
      <w:r>
        <w:t xml:space="preserve">two tons of </w:t>
      </w:r>
      <w:r w:rsidRPr="005F7BDB">
        <w:t xml:space="preserve">production was sold </w:t>
      </w:r>
      <w:r>
        <w:t>through other local channels. (Approximately a</w:t>
      </w:r>
      <w:r w:rsidRPr="005F7BDB">
        <w:t>n equivalent amount of broccoli</w:t>
      </w:r>
      <w:r>
        <w:t>, or about 8 tons,</w:t>
      </w:r>
      <w:r w:rsidRPr="005F7BDB">
        <w:t xml:space="preserve"> was grown for home consumption by the participating households</w:t>
      </w:r>
      <w:r>
        <w:t xml:space="preserve"> in their household gardens</w:t>
      </w:r>
      <w:r w:rsidRPr="005F7BDB">
        <w:t>.)</w:t>
      </w:r>
    </w:p>
    <w:p w:rsidR="000C6F74" w:rsidRDefault="000C6F74" w:rsidP="0051405D">
      <w:pPr>
        <w:jc w:val="both"/>
      </w:pPr>
    </w:p>
    <w:p w:rsidR="000C6F74" w:rsidRDefault="000C6F74" w:rsidP="0051405D">
      <w:pPr>
        <w:jc w:val="both"/>
      </w:pPr>
    </w:p>
    <w:p w:rsidR="00B84250" w:rsidRPr="00B3441D" w:rsidRDefault="00B3441D" w:rsidP="0051405D">
      <w:pPr>
        <w:jc w:val="both"/>
        <w:rPr>
          <w:b/>
          <w:i/>
          <w:u w:val="single"/>
        </w:rPr>
      </w:pPr>
      <w:r w:rsidRPr="00B3441D">
        <w:rPr>
          <w:b/>
          <w:i/>
          <w:u w:val="single"/>
        </w:rPr>
        <w:t>Fruits and Berries Value Chain</w:t>
      </w:r>
    </w:p>
    <w:p w:rsidR="002F2C6D" w:rsidRDefault="002F2C6D" w:rsidP="0051405D">
      <w:pPr>
        <w:jc w:val="both"/>
        <w:rPr>
          <w:rFonts w:eastAsia="Calibri"/>
        </w:rPr>
      </w:pPr>
      <w:r w:rsidRPr="003575F2">
        <w:rPr>
          <w:rFonts w:eastAsia="Calibri"/>
        </w:rPr>
        <w:t>13,</w:t>
      </w:r>
      <w:r w:rsidR="00B3441D">
        <w:rPr>
          <w:rFonts w:eastAsia="Calibri"/>
        </w:rPr>
        <w:t>0</w:t>
      </w:r>
      <w:r w:rsidRPr="003575F2">
        <w:rPr>
          <w:rFonts w:eastAsia="Calibri"/>
        </w:rPr>
        <w:t xml:space="preserve">00 </w:t>
      </w:r>
      <w:r w:rsidRPr="00B3441D">
        <w:rPr>
          <w:rFonts w:eastAsia="Calibri"/>
          <w:b/>
        </w:rPr>
        <w:t>saplings</w:t>
      </w:r>
      <w:r w:rsidRPr="003575F2">
        <w:rPr>
          <w:rFonts w:eastAsia="Calibri"/>
        </w:rPr>
        <w:t xml:space="preserve"> of 3 types of raspberry and thornless blackberry were provided to the berry group. </w:t>
      </w:r>
      <w:r w:rsidRPr="007804F2">
        <w:rPr>
          <w:rFonts w:eastAsia="Calibri"/>
          <w:iCs/>
        </w:rPr>
        <w:t xml:space="preserve">The </w:t>
      </w:r>
      <w:r>
        <w:rPr>
          <w:rFonts w:eastAsia="Calibri"/>
          <w:iCs/>
        </w:rPr>
        <w:t>tender</w:t>
      </w:r>
      <w:r w:rsidRPr="007804F2">
        <w:rPr>
          <w:rFonts w:eastAsia="Calibri"/>
          <w:iCs/>
        </w:rPr>
        <w:t xml:space="preserve"> did not result in sufficient amount of currant saplings offer. If available, currant saplings will be provided</w:t>
      </w:r>
      <w:r>
        <w:rPr>
          <w:rFonts w:eastAsia="Calibri"/>
          <w:iCs/>
        </w:rPr>
        <w:t xml:space="preserve"> in spring. All the saplings were</w:t>
      </w:r>
      <w:r w:rsidRPr="007804F2">
        <w:rPr>
          <w:rFonts w:eastAsia="Calibri"/>
          <w:iCs/>
        </w:rPr>
        <w:t xml:space="preserve"> transported to </w:t>
      </w:r>
      <w:r>
        <w:rPr>
          <w:rFonts w:eastAsia="Calibri"/>
          <w:iCs/>
        </w:rPr>
        <w:t xml:space="preserve">the </w:t>
      </w:r>
      <w:r w:rsidRPr="007804F2">
        <w:rPr>
          <w:rFonts w:eastAsia="Calibri"/>
          <w:iCs/>
        </w:rPr>
        <w:t>Kurtan</w:t>
      </w:r>
      <w:r>
        <w:rPr>
          <w:rFonts w:eastAsia="Calibri"/>
          <w:iCs/>
        </w:rPr>
        <w:t xml:space="preserve"> community</w:t>
      </w:r>
      <w:r w:rsidRPr="007804F2">
        <w:rPr>
          <w:rFonts w:eastAsia="Calibri"/>
          <w:iCs/>
        </w:rPr>
        <w:t xml:space="preserve"> and planted.</w:t>
      </w:r>
      <w:r>
        <w:rPr>
          <w:rFonts w:eastAsia="Calibri"/>
          <w:iCs/>
        </w:rPr>
        <w:t xml:space="preserve"> </w:t>
      </w:r>
      <w:r w:rsidRPr="003575F2">
        <w:rPr>
          <w:rFonts w:eastAsia="Calibri"/>
        </w:rPr>
        <w:t xml:space="preserve">Total area of </w:t>
      </w:r>
      <w:r w:rsidRPr="0054060E">
        <w:rPr>
          <w:rFonts w:eastAsia="Calibri"/>
        </w:rPr>
        <w:t>the berry field is 1,100 m</w:t>
      </w:r>
      <w:r w:rsidRPr="0054060E">
        <w:rPr>
          <w:rFonts w:eastAsia="Calibri"/>
          <w:vertAlign w:val="superscript"/>
        </w:rPr>
        <w:t>2</w:t>
      </w:r>
      <w:r w:rsidRPr="0054060E">
        <w:rPr>
          <w:rFonts w:eastAsia="Calibri"/>
        </w:rPr>
        <w:t>, and the producer group has additionally prepared the land and constructed a fence.</w:t>
      </w:r>
    </w:p>
    <w:p w:rsidR="00B3441D" w:rsidRPr="0054060E" w:rsidRDefault="00B3441D" w:rsidP="0051405D">
      <w:pPr>
        <w:jc w:val="both"/>
        <w:rPr>
          <w:rFonts w:eastAsia="Calibri"/>
        </w:rPr>
      </w:pPr>
    </w:p>
    <w:p w:rsidR="00B3441D" w:rsidRDefault="002F2C6D" w:rsidP="0051405D">
      <w:pPr>
        <w:contextualSpacing/>
        <w:jc w:val="both"/>
        <w:rPr>
          <w:rFonts w:eastAsia="Calibri"/>
          <w:iCs/>
        </w:rPr>
      </w:pPr>
      <w:r>
        <w:rPr>
          <w:rFonts w:eastAsia="Calibri"/>
          <w:iCs/>
        </w:rPr>
        <w:t xml:space="preserve">A tender for a </w:t>
      </w:r>
      <w:r w:rsidRPr="00B3441D">
        <w:rPr>
          <w:rFonts w:eastAsia="Calibri"/>
          <w:b/>
          <w:iCs/>
        </w:rPr>
        <w:t>drip irrigation</w:t>
      </w:r>
      <w:r>
        <w:rPr>
          <w:rFonts w:eastAsia="Calibri"/>
          <w:iCs/>
        </w:rPr>
        <w:t xml:space="preserve"> system for the berry garden is </w:t>
      </w:r>
      <w:r w:rsidR="00B3441D">
        <w:rPr>
          <w:rFonts w:eastAsia="Calibri"/>
          <w:iCs/>
        </w:rPr>
        <w:t>closed and a company is selected. However, due to the season, it is negotiated to install the system in spring.</w:t>
      </w:r>
    </w:p>
    <w:p w:rsidR="002F2C6D" w:rsidRPr="007804F2" w:rsidRDefault="002F2C6D" w:rsidP="0051405D">
      <w:pPr>
        <w:contextualSpacing/>
        <w:jc w:val="both"/>
      </w:pPr>
      <w:r>
        <w:rPr>
          <w:rFonts w:eastAsia="Calibri"/>
          <w:iCs/>
        </w:rPr>
        <w:t>.</w:t>
      </w:r>
    </w:p>
    <w:p w:rsidR="00B3441D" w:rsidRPr="002F2C6D" w:rsidRDefault="00B3441D" w:rsidP="0051405D">
      <w:pPr>
        <w:jc w:val="both"/>
      </w:pPr>
      <w:r>
        <w:t xml:space="preserve">The members of the berry producing group attended a </w:t>
      </w:r>
      <w:r w:rsidRPr="00B3441D">
        <w:rPr>
          <w:b/>
        </w:rPr>
        <w:t>training</w:t>
      </w:r>
      <w:r>
        <w:t xml:space="preserve"> by an Italian berry expert organized by the FAO, in preparation to begin growing berries in 2017.</w:t>
      </w:r>
    </w:p>
    <w:p w:rsidR="002F2C6D" w:rsidRDefault="002F2C6D" w:rsidP="0051405D">
      <w:pPr>
        <w:contextualSpacing/>
        <w:jc w:val="both"/>
        <w:rPr>
          <w:b/>
        </w:rPr>
      </w:pPr>
    </w:p>
    <w:p w:rsidR="002F2C6D" w:rsidRDefault="002F2C6D" w:rsidP="0051405D">
      <w:pPr>
        <w:jc w:val="both"/>
      </w:pPr>
      <w:r>
        <w:t xml:space="preserve">After launching and re-launching the tender for the purchase of </w:t>
      </w:r>
      <w:r w:rsidRPr="00B3441D">
        <w:rPr>
          <w:b/>
        </w:rPr>
        <w:t>a handicapped-operable tractor</w:t>
      </w:r>
      <w:r>
        <w:t>, the equip</w:t>
      </w:r>
      <w:r w:rsidR="00B3441D">
        <w:t>ment supplier has been selected and contracted. The tractor arrives in mid-December.</w:t>
      </w:r>
      <w:r>
        <w:t xml:space="preserve"> In order to receive the investment, the group’s co-financing included the construction of a garage to house the tractor.</w:t>
      </w:r>
    </w:p>
    <w:p w:rsidR="0051405D" w:rsidRDefault="0051405D" w:rsidP="0051405D">
      <w:pPr>
        <w:jc w:val="both"/>
      </w:pPr>
    </w:p>
    <w:p w:rsidR="0051405D" w:rsidRPr="0051405D" w:rsidRDefault="0051405D" w:rsidP="0051405D">
      <w:pPr>
        <w:jc w:val="both"/>
        <w:rPr>
          <w:b/>
          <w:i/>
          <w:u w:val="single"/>
        </w:rPr>
      </w:pPr>
      <w:r w:rsidRPr="0051405D">
        <w:rPr>
          <w:b/>
          <w:i/>
          <w:u w:val="single"/>
        </w:rPr>
        <w:t>Communication</w:t>
      </w:r>
    </w:p>
    <w:p w:rsidR="0051405D" w:rsidRPr="0051405D" w:rsidRDefault="0051405D" w:rsidP="0051405D">
      <w:pPr>
        <w:pStyle w:val="ListParagraph"/>
        <w:numPr>
          <w:ilvl w:val="0"/>
          <w:numId w:val="34"/>
        </w:numPr>
        <w:jc w:val="both"/>
      </w:pPr>
      <w:r w:rsidRPr="0051405D">
        <w:t>The project has cooperatively prepared several videos, the project events were covered by numerous media outlets (TV and web)</w:t>
      </w:r>
      <w:r>
        <w:t>;</w:t>
      </w:r>
    </w:p>
    <w:p w:rsidR="0051405D" w:rsidRPr="0051405D" w:rsidRDefault="0051405D" w:rsidP="0051405D">
      <w:pPr>
        <w:pStyle w:val="ListParagraph"/>
        <w:numPr>
          <w:ilvl w:val="0"/>
          <w:numId w:val="34"/>
        </w:numPr>
        <w:jc w:val="both"/>
      </w:pPr>
      <w:r w:rsidRPr="0051405D">
        <w:t xml:space="preserve">Visits by high-level officials and ENPARD mission from </w:t>
      </w:r>
      <w:r>
        <w:t>Georgia and Moldova were hosted;</w:t>
      </w:r>
    </w:p>
    <w:p w:rsidR="0051405D" w:rsidRPr="0051405D" w:rsidRDefault="0051405D" w:rsidP="0051405D">
      <w:pPr>
        <w:pStyle w:val="ListParagraph"/>
        <w:numPr>
          <w:ilvl w:val="0"/>
          <w:numId w:val="34"/>
        </w:numPr>
        <w:jc w:val="both"/>
      </w:pPr>
      <w:r>
        <w:lastRenderedPageBreak/>
        <w:t xml:space="preserve">The project participated in several public events, such as </w:t>
      </w:r>
      <w:r w:rsidRPr="0051405D">
        <w:t>Europe Day, Harvest Festival, PanArmeni</w:t>
      </w:r>
      <w:r>
        <w:t>an Expo, ArmProdExpo</w:t>
      </w:r>
      <w:r w:rsidRPr="0051405D">
        <w:t>, etc.</w:t>
      </w:r>
      <w:r>
        <w:t>;</w:t>
      </w:r>
    </w:p>
    <w:p w:rsidR="0051405D" w:rsidRPr="0051405D" w:rsidRDefault="0051405D" w:rsidP="0051405D">
      <w:pPr>
        <w:pStyle w:val="ListParagraph"/>
        <w:numPr>
          <w:ilvl w:val="0"/>
          <w:numId w:val="34"/>
        </w:numPr>
        <w:jc w:val="both"/>
      </w:pPr>
      <w:r>
        <w:t>Project visibility s</w:t>
      </w:r>
      <w:r w:rsidRPr="0051405D">
        <w:t xml:space="preserve">ignposts, plaques &amp; stickers </w:t>
      </w:r>
      <w:r>
        <w:t xml:space="preserve">are installed </w:t>
      </w:r>
      <w:r w:rsidRPr="0051405D">
        <w:t>at project sites</w:t>
      </w:r>
      <w:r>
        <w:t>;</w:t>
      </w:r>
    </w:p>
    <w:p w:rsidR="0051405D" w:rsidRDefault="0051405D" w:rsidP="0051405D">
      <w:pPr>
        <w:pStyle w:val="ListParagraph"/>
        <w:numPr>
          <w:ilvl w:val="0"/>
          <w:numId w:val="34"/>
        </w:numPr>
        <w:jc w:val="both"/>
      </w:pPr>
      <w:r>
        <w:t>Several c</w:t>
      </w:r>
      <w:r w:rsidRPr="0051405D">
        <w:t>ommunication materials</w:t>
      </w:r>
      <w:r>
        <w:t xml:space="preserve"> (brochures, maps, posters) were prepared and printed and</w:t>
      </w:r>
      <w:r w:rsidRPr="0051405D">
        <w:t xml:space="preserve"> social media</w:t>
      </w:r>
      <w:r>
        <w:t xml:space="preserve"> websites were managed.</w:t>
      </w:r>
    </w:p>
    <w:p w:rsidR="002F2C6D" w:rsidRDefault="002F2C6D" w:rsidP="0051405D">
      <w:pPr>
        <w:jc w:val="both"/>
      </w:pPr>
    </w:p>
    <w:p w:rsidR="007C6E3F" w:rsidRDefault="007C6E3F" w:rsidP="0051405D">
      <w:pPr>
        <w:jc w:val="both"/>
        <w:rPr>
          <w:b/>
          <w:szCs w:val="24"/>
        </w:rPr>
      </w:pPr>
    </w:p>
    <w:p w:rsidR="007C6E3F" w:rsidRPr="0073794D" w:rsidRDefault="007C6E3F" w:rsidP="0051405D">
      <w:pPr>
        <w:pStyle w:val="BodyText2"/>
        <w:jc w:val="both"/>
        <w:rPr>
          <w:rFonts w:ascii="Times New Roman" w:hAnsi="Times New Roman"/>
          <w:bCs/>
          <w:iCs/>
          <w:sz w:val="24"/>
          <w:szCs w:val="24"/>
        </w:rPr>
      </w:pPr>
      <w:r w:rsidRPr="00EE643C">
        <w:rPr>
          <w:rFonts w:ascii="Times New Roman" w:hAnsi="Times New Roman"/>
          <w:b/>
          <w:bCs/>
          <w:iCs/>
          <w:sz w:val="24"/>
          <w:szCs w:val="24"/>
        </w:rPr>
        <w:t xml:space="preserve">Expected Impact: </w:t>
      </w:r>
    </w:p>
    <w:p w:rsidR="007C6E3F" w:rsidRPr="0073794D" w:rsidRDefault="007C6E3F" w:rsidP="0051405D">
      <w:pPr>
        <w:pStyle w:val="ListParagraph"/>
        <w:ind w:left="0"/>
        <w:jc w:val="both"/>
        <w:rPr>
          <w:b/>
          <w:bCs/>
        </w:rPr>
      </w:pPr>
      <w:r w:rsidRPr="0073794D">
        <w:rPr>
          <w:bCs/>
        </w:rPr>
        <w:t>Poverty reduction through new employment opportunities</w:t>
      </w:r>
      <w:r w:rsidR="00B3441D">
        <w:rPr>
          <w:bCs/>
        </w:rPr>
        <w:t xml:space="preserve">, diversified and sustainable agricultural practices, and </w:t>
      </w:r>
      <w:r w:rsidRPr="0073794D">
        <w:rPr>
          <w:bCs/>
        </w:rPr>
        <w:t xml:space="preserve">increased income levels </w:t>
      </w:r>
      <w:r w:rsidR="00B3441D">
        <w:rPr>
          <w:bCs/>
        </w:rPr>
        <w:t>for</w:t>
      </w:r>
      <w:r w:rsidRPr="0073794D">
        <w:rPr>
          <w:bCs/>
        </w:rPr>
        <w:t xml:space="preserve"> </w:t>
      </w:r>
      <w:r w:rsidR="00B3441D">
        <w:rPr>
          <w:bCs/>
        </w:rPr>
        <w:t>the local farmers</w:t>
      </w:r>
    </w:p>
    <w:p w:rsidR="007C6E3F" w:rsidRDefault="007C6E3F" w:rsidP="00C60AFB">
      <w:pPr>
        <w:jc w:val="both"/>
        <w:rPr>
          <w:b/>
          <w:szCs w:val="24"/>
        </w:rPr>
      </w:pPr>
    </w:p>
    <w:p w:rsidR="0051405D" w:rsidRDefault="0051405D" w:rsidP="00C60AFB">
      <w:pPr>
        <w:jc w:val="both"/>
        <w:rPr>
          <w:b/>
          <w:szCs w:val="24"/>
        </w:rPr>
      </w:pPr>
    </w:p>
    <w:p w:rsidR="007C6E3F" w:rsidRDefault="007C6E3F" w:rsidP="00C60AFB">
      <w:pPr>
        <w:jc w:val="both"/>
        <w:rPr>
          <w:b/>
          <w:szCs w:val="24"/>
        </w:rPr>
      </w:pPr>
    </w:p>
    <w:p w:rsidR="00B3441D" w:rsidRPr="00EE643C" w:rsidRDefault="00B3441D" w:rsidP="00B3441D">
      <w:pPr>
        <w:pStyle w:val="Heading3"/>
        <w:rPr>
          <w:rFonts w:ascii="Times New Roman" w:hAnsi="Times New Roman"/>
          <w:b/>
          <w:bCs w:val="0"/>
          <w:szCs w:val="24"/>
        </w:rPr>
      </w:pPr>
      <w:r w:rsidRPr="00EE643C">
        <w:rPr>
          <w:rFonts w:ascii="Times New Roman" w:hAnsi="Times New Roman"/>
          <w:b/>
          <w:bCs w:val="0"/>
          <w:szCs w:val="24"/>
        </w:rPr>
        <w:t>I</w:t>
      </w:r>
      <w:r>
        <w:rPr>
          <w:rFonts w:ascii="Times New Roman" w:hAnsi="Times New Roman"/>
          <w:b/>
          <w:bCs w:val="0"/>
          <w:szCs w:val="24"/>
        </w:rPr>
        <w:t>I</w:t>
      </w:r>
      <w:r w:rsidRPr="00EE643C">
        <w:rPr>
          <w:rFonts w:ascii="Times New Roman" w:hAnsi="Times New Roman"/>
          <w:b/>
          <w:bCs w:val="0"/>
          <w:szCs w:val="24"/>
        </w:rPr>
        <w:t xml:space="preserve">I. </w:t>
      </w:r>
      <w:r>
        <w:rPr>
          <w:rFonts w:ascii="Times New Roman" w:hAnsi="Times New Roman"/>
          <w:b/>
          <w:bCs w:val="0"/>
          <w:szCs w:val="24"/>
        </w:rPr>
        <w:t>FUTURE WORK PLAN</w:t>
      </w:r>
    </w:p>
    <w:p w:rsidR="00B3441D" w:rsidRDefault="00B3441D" w:rsidP="00C60AFB">
      <w:pPr>
        <w:jc w:val="both"/>
        <w:rPr>
          <w:b/>
          <w:szCs w:val="24"/>
        </w:rPr>
      </w:pPr>
    </w:p>
    <w:p w:rsidR="00B3441D" w:rsidRDefault="00B3441D" w:rsidP="0051405D">
      <w:pPr>
        <w:pStyle w:val="ListParagraph"/>
        <w:numPr>
          <w:ilvl w:val="0"/>
          <w:numId w:val="32"/>
        </w:numPr>
        <w:jc w:val="both"/>
      </w:pPr>
      <w:r w:rsidRPr="00B3441D">
        <w:t xml:space="preserve">The tender is complete and the company is selected to conduct </w:t>
      </w:r>
      <w:r w:rsidRPr="00E33056">
        <w:rPr>
          <w:b/>
        </w:rPr>
        <w:t>agri-cooperative management trainings</w:t>
      </w:r>
      <w:r w:rsidRPr="00B3441D">
        <w:t xml:space="preserve"> for the primary producer groups</w:t>
      </w:r>
      <w:r>
        <w:t xml:space="preserve"> (December 2016-March 2017)</w:t>
      </w:r>
      <w:r w:rsidRPr="00B3441D">
        <w:t>.</w:t>
      </w:r>
      <w:r>
        <w:t xml:space="preserve"> In addition to covering general issues and analyzing the financial results of the 2016 season, the trainers will</w:t>
      </w:r>
      <w:r w:rsidRPr="00053AC8">
        <w:t xml:space="preserve"> </w:t>
      </w:r>
      <w:r>
        <w:t>focus</w:t>
      </w:r>
      <w:r w:rsidRPr="00053AC8">
        <w:t xml:space="preserve"> especially on the implementation of cooperative employment and service contracts, </w:t>
      </w:r>
      <w:r>
        <w:t>as well as explaining the requirements of cooperative taxation, as required by law</w:t>
      </w:r>
      <w:r w:rsidRPr="00053AC8">
        <w:t>.</w:t>
      </w:r>
      <w:r>
        <w:t xml:space="preserve"> </w:t>
      </w:r>
    </w:p>
    <w:p w:rsidR="00E33056" w:rsidRDefault="00E33056" w:rsidP="0051405D">
      <w:pPr>
        <w:pStyle w:val="ListParagraph"/>
        <w:jc w:val="both"/>
      </w:pPr>
    </w:p>
    <w:p w:rsidR="00E33056" w:rsidRPr="00E33056" w:rsidRDefault="00E33056" w:rsidP="0051405D">
      <w:pPr>
        <w:pStyle w:val="ListParagraph"/>
        <w:numPr>
          <w:ilvl w:val="0"/>
          <w:numId w:val="32"/>
        </w:numPr>
        <w:spacing w:after="120"/>
        <w:jc w:val="both"/>
        <w:rPr>
          <w:rFonts w:eastAsia="Calibri"/>
          <w:b/>
        </w:rPr>
      </w:pPr>
      <w:r w:rsidRPr="00E33056">
        <w:rPr>
          <w:rFonts w:eastAsia="Calibri"/>
          <w:b/>
        </w:rPr>
        <w:t>Buckwheat Value chain</w:t>
      </w:r>
    </w:p>
    <w:p w:rsidR="00E33056" w:rsidRPr="00E33056" w:rsidRDefault="00E33056" w:rsidP="0051405D">
      <w:pPr>
        <w:pStyle w:val="ListParagraph"/>
        <w:jc w:val="both"/>
        <w:rPr>
          <w:rFonts w:eastAsia="Calibri"/>
        </w:rPr>
      </w:pPr>
      <w:r w:rsidRPr="00E33056">
        <w:rPr>
          <w:rFonts w:eastAsia="Calibri"/>
        </w:rPr>
        <w:t xml:space="preserve">Bavra processing factory construction will be completed and the hulling equipment will be installed. Smooth operation of factories will be ensured. Marketing and promotional support will be provided to assure the best competitive price for the hulled buckwheat. Packaging equipment and materials will be provided to the head cooperatives. All production will be sold under the registered trademark, including designed logo and unique packaging. The technical assistance will be provided until the end of the project. Jointly with UNDP/GEF Small grant Programme, manure based natural friendly fertilizer application will be piloted on selected buckwheat fields and will be popularized </w:t>
      </w:r>
      <w:r w:rsidRPr="00E33056">
        <w:rPr>
          <w:rFonts w:eastAsia="Calibri"/>
        </w:rPr>
        <w:lastRenderedPageBreak/>
        <w:t xml:space="preserve">among all interested primary producers during 2017.   </w:t>
      </w:r>
    </w:p>
    <w:p w:rsidR="00E33056" w:rsidRPr="00E33056" w:rsidRDefault="00E33056" w:rsidP="0051405D">
      <w:pPr>
        <w:pStyle w:val="ListParagraph"/>
        <w:spacing w:after="120"/>
        <w:jc w:val="both"/>
        <w:rPr>
          <w:rFonts w:eastAsia="Calibri"/>
        </w:rPr>
      </w:pPr>
      <w:r w:rsidRPr="00E33056">
        <w:rPr>
          <w:rFonts w:eastAsia="Calibri"/>
        </w:rPr>
        <w:t xml:space="preserve">New crops will be introduced to buckwheat primary producers to minimize market and weather related risks. Technical assistance, including GAP for new crops will be provided to the farmers to guarantee high yield. The production protocol for buckwheat processing will be developed, introduced and registered with the state standard agency. </w:t>
      </w:r>
    </w:p>
    <w:p w:rsidR="00E33056" w:rsidRPr="00E33056" w:rsidRDefault="00E33056" w:rsidP="0051405D">
      <w:pPr>
        <w:pStyle w:val="ListParagraph"/>
        <w:spacing w:after="120"/>
        <w:jc w:val="both"/>
        <w:rPr>
          <w:rFonts w:eastAsia="Calibri"/>
        </w:rPr>
      </w:pPr>
      <w:r w:rsidRPr="00E33056">
        <w:rPr>
          <w:rFonts w:eastAsia="Calibri"/>
        </w:rPr>
        <w:t>A national promotional campaign will be organized to support ENPARD producer cooperatives. Cooperative management and marketing/sales capacity building activities will be provided to the cooperative staff.</w:t>
      </w:r>
    </w:p>
    <w:p w:rsidR="00E33056" w:rsidRDefault="00E33056" w:rsidP="0051405D">
      <w:pPr>
        <w:pStyle w:val="ListParagraph"/>
        <w:spacing w:after="120"/>
        <w:jc w:val="both"/>
        <w:rPr>
          <w:rFonts w:eastAsia="Calibri"/>
        </w:rPr>
      </w:pPr>
      <w:r w:rsidRPr="00E33056">
        <w:rPr>
          <w:rFonts w:eastAsia="Calibri"/>
        </w:rPr>
        <w:t xml:space="preserve">Ongoing processing, sales and marketing will be continued until the end of the project.   </w:t>
      </w:r>
    </w:p>
    <w:p w:rsidR="00E33056" w:rsidRPr="00E33056" w:rsidRDefault="00E33056" w:rsidP="0051405D">
      <w:pPr>
        <w:pStyle w:val="ListParagraph"/>
        <w:spacing w:after="120"/>
        <w:jc w:val="both"/>
        <w:rPr>
          <w:rFonts w:eastAsia="Calibri"/>
        </w:rPr>
      </w:pPr>
      <w:r w:rsidRPr="00E33056">
        <w:rPr>
          <w:rFonts w:eastAsia="Calibri"/>
        </w:rPr>
        <w:t xml:space="preserve">        </w:t>
      </w:r>
    </w:p>
    <w:p w:rsidR="00E33056" w:rsidRPr="00E33056" w:rsidRDefault="00E33056" w:rsidP="0051405D">
      <w:pPr>
        <w:pStyle w:val="ListParagraph"/>
        <w:numPr>
          <w:ilvl w:val="0"/>
          <w:numId w:val="32"/>
        </w:numPr>
        <w:spacing w:after="120"/>
        <w:jc w:val="both"/>
        <w:rPr>
          <w:rFonts w:eastAsia="Calibri"/>
          <w:b/>
        </w:rPr>
      </w:pPr>
      <w:r>
        <w:rPr>
          <w:rFonts w:eastAsia="Calibri"/>
          <w:b/>
        </w:rPr>
        <w:t>Non-T</w:t>
      </w:r>
      <w:r w:rsidRPr="00E33056">
        <w:rPr>
          <w:rFonts w:eastAsia="Calibri"/>
          <w:b/>
        </w:rPr>
        <w:t xml:space="preserve">raditional </w:t>
      </w:r>
      <w:r>
        <w:rPr>
          <w:rFonts w:eastAsia="Calibri"/>
          <w:b/>
        </w:rPr>
        <w:t>V</w:t>
      </w:r>
      <w:r w:rsidRPr="00E33056">
        <w:rPr>
          <w:rFonts w:eastAsia="Calibri"/>
          <w:b/>
        </w:rPr>
        <w:t>egetables Value chain</w:t>
      </w:r>
    </w:p>
    <w:p w:rsidR="00E33056" w:rsidRPr="00E33056" w:rsidRDefault="00E33056" w:rsidP="0051405D">
      <w:pPr>
        <w:pStyle w:val="ListParagraph"/>
        <w:jc w:val="both"/>
        <w:rPr>
          <w:rFonts w:eastAsia="Calibri"/>
        </w:rPr>
      </w:pPr>
      <w:r w:rsidRPr="00E33056">
        <w:rPr>
          <w:rFonts w:eastAsia="Calibri"/>
        </w:rPr>
        <w:t xml:space="preserve">The broccoli production area will be increased and new non-traditional varieties will be introduced for trial. Technical support for the new varieties will be provided and a monitoring system will be established to analyze variety trial data and expand production of the high productive crops. New cooperative members will be attracted to increase production volume and impact on rural farmers’ income. Training for the new members will be provided through the cooperative. </w:t>
      </w:r>
    </w:p>
    <w:p w:rsidR="00E33056" w:rsidRPr="00E33056" w:rsidRDefault="00E33056" w:rsidP="0051405D">
      <w:pPr>
        <w:pStyle w:val="ListParagraph"/>
        <w:spacing w:after="120"/>
        <w:jc w:val="both"/>
        <w:rPr>
          <w:rFonts w:eastAsia="Calibri"/>
        </w:rPr>
      </w:pPr>
      <w:r w:rsidRPr="00E33056">
        <w:rPr>
          <w:rFonts w:eastAsia="Calibri"/>
        </w:rPr>
        <w:t xml:space="preserve">Training on GAP, harvest, post-harvest and storage for broccoli and new crops will be delivered. Storage facilities and packaging techniques and materials will be improved to minimize the losses. </w:t>
      </w:r>
    </w:p>
    <w:p w:rsidR="00E33056" w:rsidRPr="00E33056" w:rsidRDefault="00E33056" w:rsidP="0051405D">
      <w:pPr>
        <w:pStyle w:val="ListParagraph"/>
        <w:spacing w:after="120"/>
        <w:jc w:val="both"/>
        <w:rPr>
          <w:rFonts w:eastAsia="Calibri"/>
        </w:rPr>
      </w:pPr>
      <w:r w:rsidRPr="00E33056">
        <w:rPr>
          <w:rFonts w:eastAsia="Calibri"/>
        </w:rPr>
        <w:t xml:space="preserve">A national promotional campaign will be organized to support ENPARD producer cooperatives. Cooperative management and marketing/sales capacity building activities will be provided to the cooperative staff.  </w:t>
      </w:r>
    </w:p>
    <w:p w:rsidR="00E33056" w:rsidRDefault="00E33056" w:rsidP="0051405D">
      <w:pPr>
        <w:pStyle w:val="ListParagraph"/>
        <w:jc w:val="both"/>
        <w:rPr>
          <w:rFonts w:eastAsia="Calibri"/>
        </w:rPr>
      </w:pPr>
      <w:r w:rsidRPr="00E33056">
        <w:rPr>
          <w:rFonts w:eastAsia="Calibri"/>
        </w:rPr>
        <w:t>Ongoing sales and marketing support will be continued until the end of the project.</w:t>
      </w:r>
    </w:p>
    <w:p w:rsidR="00E33056" w:rsidRDefault="00E33056" w:rsidP="0051405D">
      <w:pPr>
        <w:pStyle w:val="ListParagraph"/>
        <w:jc w:val="both"/>
        <w:rPr>
          <w:rFonts w:eastAsia="Calibri"/>
        </w:rPr>
      </w:pPr>
    </w:p>
    <w:p w:rsidR="00E33056" w:rsidRPr="00E33056" w:rsidRDefault="00E33056" w:rsidP="0051405D">
      <w:pPr>
        <w:pStyle w:val="ListParagraph"/>
        <w:numPr>
          <w:ilvl w:val="0"/>
          <w:numId w:val="32"/>
        </w:numPr>
        <w:spacing w:after="120"/>
        <w:jc w:val="both"/>
        <w:rPr>
          <w:rFonts w:eastAsia="Calibri"/>
          <w:b/>
        </w:rPr>
      </w:pPr>
      <w:r w:rsidRPr="00E33056">
        <w:rPr>
          <w:rFonts w:eastAsia="Calibri"/>
          <w:b/>
        </w:rPr>
        <w:t xml:space="preserve">Fruit and </w:t>
      </w:r>
      <w:r>
        <w:rPr>
          <w:rFonts w:eastAsia="Calibri"/>
          <w:b/>
        </w:rPr>
        <w:t>B</w:t>
      </w:r>
      <w:r w:rsidRPr="00E33056">
        <w:rPr>
          <w:rFonts w:eastAsia="Calibri"/>
          <w:b/>
        </w:rPr>
        <w:t>erries Value chain</w:t>
      </w:r>
    </w:p>
    <w:p w:rsidR="00E33056" w:rsidRPr="00264258" w:rsidRDefault="00E33056" w:rsidP="0051405D">
      <w:pPr>
        <w:pStyle w:val="ListParagraph"/>
        <w:spacing w:after="120"/>
        <w:jc w:val="both"/>
        <w:rPr>
          <w:rFonts w:eastAsia="Calibri"/>
        </w:rPr>
      </w:pPr>
      <w:r w:rsidRPr="00264258">
        <w:rPr>
          <w:rFonts w:eastAsia="Calibri"/>
        </w:rPr>
        <w:t xml:space="preserve">High productive currant will be planted in early spring and the first yield of raspberry, blackberry and currant expected in fall. Drip irrigation will be installed and FAO will provide anti-hail nets. This </w:t>
      </w:r>
      <w:r w:rsidRPr="00264258">
        <w:rPr>
          <w:rFonts w:eastAsia="Calibri"/>
        </w:rPr>
        <w:lastRenderedPageBreak/>
        <w:t xml:space="preserve">demo farm will serve as model to share best agricultural practice in the country. New cooperative members will be attracted to increase production volume and impact on rural farmers’ income. Training for the new members will be provided through the cooperative.  </w:t>
      </w:r>
    </w:p>
    <w:p w:rsidR="00E33056" w:rsidRPr="00264258" w:rsidRDefault="00E33056" w:rsidP="0051405D">
      <w:pPr>
        <w:pStyle w:val="ListParagraph"/>
        <w:spacing w:after="120"/>
        <w:jc w:val="both"/>
        <w:rPr>
          <w:rFonts w:eastAsia="Calibri"/>
        </w:rPr>
      </w:pPr>
      <w:r w:rsidRPr="00264258">
        <w:rPr>
          <w:rFonts w:eastAsia="Calibri"/>
        </w:rPr>
        <w:t xml:space="preserve">Training on GAP, harvest, post-harvest and storage for berries will be delivered. Storage facilities and packaging techniques and materials will be improved to minimize the losses. Additional capacity building trainings will be delivered based on need assessment.  </w:t>
      </w:r>
    </w:p>
    <w:p w:rsidR="00E33056" w:rsidRDefault="00E33056" w:rsidP="0051405D">
      <w:pPr>
        <w:pStyle w:val="ListParagraph"/>
        <w:jc w:val="both"/>
        <w:rPr>
          <w:rFonts w:eastAsia="Calibri"/>
        </w:rPr>
      </w:pPr>
    </w:p>
    <w:p w:rsidR="00DE70E2" w:rsidRPr="00EE643C" w:rsidRDefault="006C44FC" w:rsidP="0030331B">
      <w:pPr>
        <w:widowControl/>
        <w:ind w:left="720"/>
        <w:jc w:val="both"/>
        <w:rPr>
          <w:szCs w:val="24"/>
        </w:rPr>
      </w:pPr>
      <w:r>
        <w:rPr>
          <w:szCs w:val="24"/>
        </w:rPr>
        <w:t xml:space="preserve"> </w:t>
      </w:r>
    </w:p>
    <w:p w:rsidR="00CA4D96" w:rsidRPr="00EE643C" w:rsidRDefault="00E81588">
      <w:pPr>
        <w:pStyle w:val="Heading3"/>
        <w:rPr>
          <w:rFonts w:ascii="Times New Roman" w:hAnsi="Times New Roman"/>
          <w:b/>
          <w:szCs w:val="24"/>
        </w:rPr>
      </w:pPr>
      <w:r>
        <w:rPr>
          <w:rFonts w:ascii="Times New Roman" w:hAnsi="Times New Roman"/>
          <w:b/>
          <w:szCs w:val="24"/>
        </w:rPr>
        <w:t>I</w:t>
      </w:r>
      <w:r w:rsidR="00CA4D96" w:rsidRPr="00EE643C">
        <w:rPr>
          <w:rFonts w:ascii="Times New Roman" w:hAnsi="Times New Roman"/>
          <w:b/>
          <w:szCs w:val="24"/>
        </w:rPr>
        <w:t>V.  FINANCIAL IMPLEMENTATION</w:t>
      </w:r>
    </w:p>
    <w:p w:rsidR="00CA4D96" w:rsidRPr="00EE643C" w:rsidRDefault="00CA4D96">
      <w:pPr>
        <w:rPr>
          <w:szCs w:val="24"/>
        </w:rPr>
      </w:pPr>
    </w:p>
    <w:tbl>
      <w:tblPr>
        <w:tblW w:w="10751" w:type="dxa"/>
        <w:tblInd w:w="288" w:type="dxa"/>
        <w:tblLook w:val="01E0" w:firstRow="1" w:lastRow="1" w:firstColumn="1" w:lastColumn="1" w:noHBand="0" w:noVBand="0"/>
      </w:tblPr>
      <w:tblGrid>
        <w:gridCol w:w="3780"/>
        <w:gridCol w:w="2275"/>
        <w:gridCol w:w="2675"/>
        <w:gridCol w:w="2021"/>
      </w:tblGrid>
      <w:tr w:rsidR="00CA4D96" w:rsidRPr="00EE643C" w:rsidTr="00744D27">
        <w:trPr>
          <w:trHeight w:val="2637"/>
        </w:trPr>
        <w:tc>
          <w:tcPr>
            <w:tcW w:w="3780" w:type="dxa"/>
          </w:tcPr>
          <w:p w:rsidR="004B2838" w:rsidRDefault="0051405D" w:rsidP="00973064">
            <w:pPr>
              <w:rPr>
                <w:b/>
                <w:szCs w:val="24"/>
              </w:rPr>
            </w:pPr>
            <w:r>
              <w:rPr>
                <w:b/>
                <w:bCs/>
                <w:szCs w:val="24"/>
              </w:rPr>
              <w:t>00091028 ENPARD Producer Group and Value Chain Development</w:t>
            </w:r>
            <w:r w:rsidRPr="00EE643C">
              <w:rPr>
                <w:b/>
                <w:szCs w:val="24"/>
              </w:rPr>
              <w:t xml:space="preserve"> </w:t>
            </w:r>
          </w:p>
          <w:p w:rsidR="0051405D" w:rsidRPr="00EE643C" w:rsidRDefault="0051405D" w:rsidP="00973064">
            <w:pPr>
              <w:rPr>
                <w:b/>
                <w:szCs w:val="24"/>
              </w:rPr>
            </w:pPr>
          </w:p>
          <w:p w:rsidR="00CA4D96" w:rsidRPr="00EE643C" w:rsidRDefault="00CA4D96" w:rsidP="00973064">
            <w:pPr>
              <w:rPr>
                <w:b/>
                <w:szCs w:val="24"/>
              </w:rPr>
            </w:pPr>
            <w:r w:rsidRPr="00EE643C">
              <w:rPr>
                <w:b/>
                <w:szCs w:val="24"/>
              </w:rPr>
              <w:t xml:space="preserve">Financial Implementation Status   </w:t>
            </w:r>
          </w:p>
          <w:p w:rsidR="00CA4D96" w:rsidRPr="00EE643C" w:rsidRDefault="00CA4D96" w:rsidP="00973064">
            <w:pPr>
              <w:rPr>
                <w:b/>
                <w:szCs w:val="24"/>
              </w:rPr>
            </w:pPr>
          </w:p>
          <w:p w:rsidR="006473DD" w:rsidRDefault="006473DD" w:rsidP="006473DD">
            <w:pPr>
              <w:pStyle w:val="Heading6"/>
              <w:rPr>
                <w:color w:val="auto"/>
                <w:sz w:val="24"/>
                <w:szCs w:val="24"/>
              </w:rPr>
            </w:pPr>
            <w:r w:rsidRPr="00EE643C">
              <w:rPr>
                <w:color w:val="auto"/>
                <w:sz w:val="24"/>
                <w:szCs w:val="24"/>
              </w:rPr>
              <w:t xml:space="preserve">Total Approved Budget: </w:t>
            </w:r>
          </w:p>
          <w:p w:rsidR="006473DD" w:rsidRPr="006473DD" w:rsidRDefault="006473DD" w:rsidP="006473DD"/>
          <w:p w:rsidR="005A6C02" w:rsidRDefault="00202F49" w:rsidP="006473DD">
            <w:pPr>
              <w:jc w:val="both"/>
              <w:rPr>
                <w:szCs w:val="24"/>
              </w:rPr>
            </w:pPr>
            <w:r>
              <w:rPr>
                <w:szCs w:val="24"/>
              </w:rPr>
              <w:t>European Union</w:t>
            </w:r>
            <w:r w:rsidR="006473DD" w:rsidRPr="00EE643C">
              <w:rPr>
                <w:szCs w:val="24"/>
              </w:rPr>
              <w:t xml:space="preserve">:            </w:t>
            </w:r>
          </w:p>
          <w:p w:rsidR="006473DD" w:rsidRPr="00EE643C" w:rsidRDefault="00202F49" w:rsidP="006473DD">
            <w:pPr>
              <w:jc w:val="both"/>
              <w:rPr>
                <w:bCs/>
                <w:szCs w:val="24"/>
              </w:rPr>
            </w:pPr>
            <w:r>
              <w:rPr>
                <w:bCs/>
                <w:szCs w:val="24"/>
              </w:rPr>
              <w:t>Austrian Development Agency</w:t>
            </w:r>
            <w:r w:rsidR="006473DD" w:rsidRPr="00EE643C">
              <w:rPr>
                <w:bCs/>
                <w:szCs w:val="24"/>
              </w:rPr>
              <w:t xml:space="preserve">: </w:t>
            </w:r>
          </w:p>
          <w:p w:rsidR="00817AE3" w:rsidRPr="00EE643C" w:rsidRDefault="00817AE3" w:rsidP="00744D27">
            <w:pPr>
              <w:jc w:val="both"/>
              <w:rPr>
                <w:szCs w:val="24"/>
              </w:rPr>
            </w:pPr>
          </w:p>
        </w:tc>
        <w:tc>
          <w:tcPr>
            <w:tcW w:w="2275" w:type="dxa"/>
          </w:tcPr>
          <w:p w:rsidR="004B2838" w:rsidRDefault="004B2838">
            <w:pPr>
              <w:jc w:val="center"/>
              <w:rPr>
                <w:b/>
                <w:szCs w:val="24"/>
              </w:rPr>
            </w:pPr>
          </w:p>
          <w:p w:rsidR="004B2838" w:rsidRDefault="004B2838">
            <w:pPr>
              <w:jc w:val="center"/>
              <w:rPr>
                <w:b/>
                <w:szCs w:val="24"/>
              </w:rPr>
            </w:pPr>
          </w:p>
          <w:p w:rsidR="0051405D" w:rsidRDefault="0051405D">
            <w:pPr>
              <w:jc w:val="center"/>
              <w:rPr>
                <w:b/>
                <w:szCs w:val="24"/>
              </w:rPr>
            </w:pPr>
          </w:p>
          <w:p w:rsidR="0051405D" w:rsidRDefault="0051405D">
            <w:pPr>
              <w:jc w:val="center"/>
              <w:rPr>
                <w:b/>
                <w:szCs w:val="24"/>
              </w:rPr>
            </w:pPr>
          </w:p>
          <w:p w:rsidR="00CA4D96" w:rsidRPr="00EE643C" w:rsidRDefault="00CA4D96">
            <w:pPr>
              <w:jc w:val="center"/>
              <w:rPr>
                <w:szCs w:val="24"/>
              </w:rPr>
            </w:pPr>
            <w:r w:rsidRPr="00EE643C">
              <w:rPr>
                <w:b/>
                <w:szCs w:val="24"/>
              </w:rPr>
              <w:t>Budgeted</w:t>
            </w:r>
          </w:p>
          <w:p w:rsidR="00CA4D96" w:rsidRPr="00EE643C" w:rsidRDefault="00CA4D96">
            <w:pPr>
              <w:jc w:val="center"/>
              <w:rPr>
                <w:szCs w:val="24"/>
              </w:rPr>
            </w:pPr>
          </w:p>
          <w:p w:rsidR="006473DD" w:rsidRDefault="006473DD" w:rsidP="006473DD">
            <w:pPr>
              <w:pStyle w:val="Heading6"/>
              <w:rPr>
                <w:color w:val="auto"/>
                <w:sz w:val="24"/>
                <w:szCs w:val="24"/>
              </w:rPr>
            </w:pPr>
            <w:r w:rsidRPr="00EE643C">
              <w:rPr>
                <w:color w:val="auto"/>
                <w:sz w:val="24"/>
                <w:szCs w:val="24"/>
              </w:rPr>
              <w:t xml:space="preserve">USD </w:t>
            </w:r>
            <w:r w:rsidR="0051405D">
              <w:rPr>
                <w:color w:val="auto"/>
                <w:sz w:val="24"/>
                <w:szCs w:val="24"/>
              </w:rPr>
              <w:t>1,</w:t>
            </w:r>
            <w:r w:rsidR="0051405D" w:rsidRPr="00202F49">
              <w:rPr>
                <w:color w:val="auto"/>
                <w:sz w:val="24"/>
                <w:szCs w:val="24"/>
              </w:rPr>
              <w:t>1</w:t>
            </w:r>
            <w:r w:rsidR="0051405D">
              <w:rPr>
                <w:color w:val="auto"/>
                <w:sz w:val="24"/>
                <w:szCs w:val="24"/>
              </w:rPr>
              <w:t>05</w:t>
            </w:r>
            <w:r w:rsidR="0051405D" w:rsidRPr="00202F49">
              <w:rPr>
                <w:color w:val="auto"/>
                <w:sz w:val="24"/>
                <w:szCs w:val="24"/>
              </w:rPr>
              <w:t>,</w:t>
            </w:r>
            <w:r w:rsidR="0051405D">
              <w:rPr>
                <w:color w:val="auto"/>
                <w:sz w:val="24"/>
                <w:szCs w:val="24"/>
              </w:rPr>
              <w:t>160</w:t>
            </w:r>
          </w:p>
          <w:p w:rsidR="004B2838" w:rsidRDefault="004B2838" w:rsidP="006473DD">
            <w:pPr>
              <w:pStyle w:val="Heading6"/>
              <w:rPr>
                <w:b w:val="0"/>
                <w:color w:val="auto"/>
                <w:sz w:val="24"/>
                <w:szCs w:val="24"/>
              </w:rPr>
            </w:pPr>
          </w:p>
          <w:p w:rsidR="0055619E" w:rsidRDefault="0055619E" w:rsidP="006473DD">
            <w:pPr>
              <w:pStyle w:val="Heading6"/>
              <w:rPr>
                <w:b w:val="0"/>
                <w:color w:val="auto"/>
                <w:sz w:val="24"/>
                <w:szCs w:val="24"/>
              </w:rPr>
            </w:pPr>
          </w:p>
          <w:p w:rsidR="006473DD" w:rsidRPr="00126089" w:rsidRDefault="006473DD" w:rsidP="006473DD">
            <w:pPr>
              <w:pStyle w:val="Heading6"/>
              <w:rPr>
                <w:b w:val="0"/>
                <w:color w:val="auto"/>
                <w:sz w:val="24"/>
                <w:szCs w:val="24"/>
              </w:rPr>
            </w:pPr>
            <w:r w:rsidRPr="00126089">
              <w:rPr>
                <w:b w:val="0"/>
                <w:color w:val="auto"/>
                <w:sz w:val="24"/>
                <w:szCs w:val="24"/>
              </w:rPr>
              <w:t xml:space="preserve">USD </w:t>
            </w:r>
            <w:r w:rsidR="0051405D">
              <w:rPr>
                <w:b w:val="0"/>
                <w:color w:val="auto"/>
                <w:sz w:val="24"/>
                <w:szCs w:val="24"/>
              </w:rPr>
              <w:t>742</w:t>
            </w:r>
            <w:r w:rsidR="0051405D" w:rsidRPr="00C2750F">
              <w:rPr>
                <w:b w:val="0"/>
                <w:color w:val="auto"/>
                <w:sz w:val="24"/>
                <w:szCs w:val="24"/>
              </w:rPr>
              <w:t>,</w:t>
            </w:r>
            <w:r w:rsidR="0051405D">
              <w:rPr>
                <w:b w:val="0"/>
                <w:color w:val="auto"/>
                <w:sz w:val="24"/>
                <w:szCs w:val="24"/>
              </w:rPr>
              <w:t>398</w:t>
            </w:r>
            <w:r w:rsidRPr="00126089">
              <w:rPr>
                <w:b w:val="0"/>
                <w:color w:val="auto"/>
                <w:sz w:val="24"/>
                <w:szCs w:val="24"/>
              </w:rPr>
              <w:tab/>
            </w:r>
          </w:p>
          <w:p w:rsidR="0051405D" w:rsidRDefault="006473DD" w:rsidP="0051405D">
            <w:pPr>
              <w:rPr>
                <w:bCs/>
                <w:szCs w:val="24"/>
              </w:rPr>
            </w:pPr>
            <w:r w:rsidRPr="00EE643C">
              <w:rPr>
                <w:bCs/>
                <w:szCs w:val="24"/>
              </w:rPr>
              <w:t xml:space="preserve">USD </w:t>
            </w:r>
            <w:r w:rsidR="0051405D">
              <w:rPr>
                <w:bCs/>
                <w:szCs w:val="24"/>
              </w:rPr>
              <w:t>362,762</w:t>
            </w:r>
          </w:p>
          <w:p w:rsidR="00CA4D96" w:rsidRPr="00EE643C" w:rsidRDefault="00CA4D96" w:rsidP="00DE70E2">
            <w:pPr>
              <w:rPr>
                <w:szCs w:val="24"/>
              </w:rPr>
            </w:pPr>
            <w:r w:rsidRPr="00EE643C">
              <w:rPr>
                <w:b/>
                <w:szCs w:val="24"/>
              </w:rPr>
              <w:tab/>
            </w:r>
          </w:p>
          <w:p w:rsidR="006473DD" w:rsidRPr="00EE643C" w:rsidRDefault="006473DD" w:rsidP="002F6ABC">
            <w:pPr>
              <w:jc w:val="both"/>
              <w:rPr>
                <w:szCs w:val="24"/>
              </w:rPr>
            </w:pPr>
          </w:p>
        </w:tc>
        <w:tc>
          <w:tcPr>
            <w:tcW w:w="2675" w:type="dxa"/>
          </w:tcPr>
          <w:p w:rsidR="004B2838" w:rsidRDefault="004B2838" w:rsidP="0087228E">
            <w:pPr>
              <w:rPr>
                <w:b/>
                <w:szCs w:val="24"/>
              </w:rPr>
            </w:pPr>
          </w:p>
          <w:p w:rsidR="004B2838" w:rsidRDefault="004B2838" w:rsidP="0087228E">
            <w:pPr>
              <w:rPr>
                <w:b/>
                <w:szCs w:val="24"/>
              </w:rPr>
            </w:pPr>
          </w:p>
          <w:p w:rsidR="0051405D" w:rsidRDefault="0051405D" w:rsidP="0087228E">
            <w:pPr>
              <w:rPr>
                <w:b/>
                <w:szCs w:val="24"/>
              </w:rPr>
            </w:pPr>
          </w:p>
          <w:p w:rsidR="0051405D" w:rsidRDefault="0051405D" w:rsidP="0087228E">
            <w:pPr>
              <w:rPr>
                <w:b/>
                <w:szCs w:val="24"/>
              </w:rPr>
            </w:pPr>
          </w:p>
          <w:p w:rsidR="006C4AA8" w:rsidRPr="00EE643C" w:rsidRDefault="008B7105" w:rsidP="0087228E">
            <w:pPr>
              <w:rPr>
                <w:b/>
                <w:szCs w:val="24"/>
              </w:rPr>
            </w:pPr>
            <w:r w:rsidRPr="00EE643C">
              <w:rPr>
                <w:b/>
                <w:szCs w:val="24"/>
              </w:rPr>
              <w:t>Delivered</w:t>
            </w:r>
          </w:p>
          <w:p w:rsidR="008B7105" w:rsidRPr="00EE643C" w:rsidRDefault="008B7105" w:rsidP="006C4AA8">
            <w:pPr>
              <w:jc w:val="center"/>
              <w:rPr>
                <w:b/>
                <w:szCs w:val="24"/>
              </w:rPr>
            </w:pPr>
          </w:p>
          <w:p w:rsidR="00306DBB" w:rsidRPr="0051405D" w:rsidRDefault="002D507C" w:rsidP="00E51989">
            <w:pPr>
              <w:rPr>
                <w:b/>
                <w:szCs w:val="24"/>
                <w:highlight w:val="yellow"/>
              </w:rPr>
            </w:pPr>
            <w:r w:rsidRPr="0051405D">
              <w:rPr>
                <w:b/>
                <w:szCs w:val="24"/>
                <w:highlight w:val="yellow"/>
              </w:rPr>
              <w:t xml:space="preserve">USD </w:t>
            </w:r>
            <w:r w:rsidR="0051405D" w:rsidRPr="0051405D">
              <w:rPr>
                <w:b/>
                <w:szCs w:val="24"/>
                <w:highlight w:val="yellow"/>
              </w:rPr>
              <w:t>XX</w:t>
            </w:r>
          </w:p>
          <w:p w:rsidR="002D507C" w:rsidRPr="0051405D" w:rsidRDefault="002D507C" w:rsidP="00E51989">
            <w:pPr>
              <w:rPr>
                <w:szCs w:val="24"/>
                <w:highlight w:val="yellow"/>
              </w:rPr>
            </w:pPr>
          </w:p>
          <w:p w:rsidR="0055619E" w:rsidRPr="0051405D" w:rsidRDefault="0055619E" w:rsidP="00E51989">
            <w:pPr>
              <w:rPr>
                <w:szCs w:val="24"/>
                <w:highlight w:val="yellow"/>
              </w:rPr>
            </w:pPr>
          </w:p>
          <w:p w:rsidR="002D507C" w:rsidRPr="0051405D" w:rsidRDefault="002D507C" w:rsidP="00E51989">
            <w:pPr>
              <w:rPr>
                <w:szCs w:val="24"/>
                <w:highlight w:val="yellow"/>
              </w:rPr>
            </w:pPr>
            <w:r w:rsidRPr="0051405D">
              <w:rPr>
                <w:szCs w:val="24"/>
                <w:highlight w:val="yellow"/>
              </w:rPr>
              <w:t xml:space="preserve">USD </w:t>
            </w:r>
            <w:r w:rsidR="0051405D" w:rsidRPr="0051405D">
              <w:rPr>
                <w:szCs w:val="24"/>
                <w:highlight w:val="yellow"/>
              </w:rPr>
              <w:t>XX</w:t>
            </w:r>
          </w:p>
          <w:p w:rsidR="002D507C" w:rsidRDefault="002D507C" w:rsidP="00E51989">
            <w:pPr>
              <w:rPr>
                <w:szCs w:val="24"/>
              </w:rPr>
            </w:pPr>
            <w:r w:rsidRPr="0051405D">
              <w:rPr>
                <w:szCs w:val="24"/>
                <w:highlight w:val="yellow"/>
              </w:rPr>
              <w:t xml:space="preserve">USD </w:t>
            </w:r>
            <w:r w:rsidR="0051405D" w:rsidRPr="0051405D">
              <w:rPr>
                <w:szCs w:val="24"/>
                <w:highlight w:val="yellow"/>
              </w:rPr>
              <w:t>XX</w:t>
            </w:r>
          </w:p>
          <w:p w:rsidR="002D507C" w:rsidRPr="00EE643C" w:rsidRDefault="002D507C" w:rsidP="00744D27">
            <w:pPr>
              <w:rPr>
                <w:szCs w:val="24"/>
              </w:rPr>
            </w:pPr>
          </w:p>
        </w:tc>
        <w:tc>
          <w:tcPr>
            <w:tcW w:w="2021" w:type="dxa"/>
          </w:tcPr>
          <w:p w:rsidR="005D2C50" w:rsidRPr="00EE643C" w:rsidRDefault="005D2C50">
            <w:pPr>
              <w:jc w:val="center"/>
              <w:rPr>
                <w:b/>
                <w:szCs w:val="24"/>
              </w:rPr>
            </w:pPr>
          </w:p>
        </w:tc>
      </w:tr>
    </w:tbl>
    <w:p w:rsidR="008B7105" w:rsidRPr="00F83C6F" w:rsidRDefault="00F83C6F">
      <w:pPr>
        <w:pStyle w:val="BodyText2"/>
        <w:rPr>
          <w:rFonts w:ascii="Times New Roman" w:hAnsi="Times New Roman"/>
          <w:b/>
          <w:sz w:val="24"/>
          <w:szCs w:val="24"/>
        </w:rPr>
      </w:pPr>
      <w:r w:rsidRPr="00EE643C">
        <w:rPr>
          <w:rFonts w:ascii="Times New Roman" w:hAnsi="Times New Roman"/>
          <w:b/>
          <w:sz w:val="24"/>
          <w:szCs w:val="24"/>
        </w:rPr>
        <w:t>Delivery Rate</w:t>
      </w:r>
      <w:r w:rsidRPr="00EE643C">
        <w:rPr>
          <w:rFonts w:ascii="Times New Roman" w:hAnsi="Times New Roman"/>
          <w:b/>
          <w:sz w:val="24"/>
          <w:szCs w:val="24"/>
        </w:rPr>
        <w:tab/>
      </w:r>
      <w:r w:rsidR="0051405D">
        <w:rPr>
          <w:rFonts w:ascii="Times New Roman" w:hAnsi="Times New Roman"/>
          <w:b/>
          <w:sz w:val="24"/>
          <w:szCs w:val="24"/>
        </w:rPr>
        <w:t xml:space="preserve"> </w:t>
      </w:r>
      <w:r w:rsidR="0051405D" w:rsidRPr="0051405D">
        <w:rPr>
          <w:rFonts w:ascii="Times New Roman" w:hAnsi="Times New Roman"/>
          <w:b/>
          <w:sz w:val="24"/>
          <w:szCs w:val="24"/>
          <w:highlight w:val="yellow"/>
        </w:rPr>
        <w:t>XX</w:t>
      </w:r>
      <w:r w:rsidRPr="002D507C">
        <w:rPr>
          <w:rFonts w:ascii="Times New Roman" w:hAnsi="Times New Roman"/>
          <w:b/>
          <w:sz w:val="24"/>
          <w:szCs w:val="24"/>
        </w:rPr>
        <w:t>%</w:t>
      </w:r>
    </w:p>
    <w:p w:rsidR="00CA4D96" w:rsidRDefault="00CA4D96" w:rsidP="00F83C6F">
      <w:pPr>
        <w:tabs>
          <w:tab w:val="left" w:pos="-720"/>
        </w:tabs>
        <w:suppressAutoHyphens/>
        <w:jc w:val="both"/>
        <w:rPr>
          <w:snapToGrid w:val="0"/>
          <w:szCs w:val="24"/>
        </w:rPr>
      </w:pPr>
      <w:r w:rsidRPr="001710FC">
        <w:rPr>
          <w:snapToGrid w:val="0"/>
          <w:szCs w:val="24"/>
        </w:rPr>
        <w:tab/>
      </w:r>
    </w:p>
    <w:p w:rsidR="00F5023F" w:rsidRDefault="00F5023F" w:rsidP="002F6ABC">
      <w:pPr>
        <w:ind w:left="360"/>
        <w:jc w:val="both"/>
        <w:rPr>
          <w:b/>
          <w:bCs/>
          <w:szCs w:val="24"/>
        </w:rPr>
      </w:pPr>
    </w:p>
    <w:sectPr w:rsidR="00F5023F" w:rsidSect="00215A05">
      <w:footerReference w:type="even" r:id="rId8"/>
      <w:footerReference w:type="default" r:id="rId9"/>
      <w:endnotePr>
        <w:numFmt w:val="decimal"/>
      </w:endnotePr>
      <w:pgSz w:w="11907" w:h="16840" w:code="9"/>
      <w:pgMar w:top="1440" w:right="1134"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5BC" w:rsidRDefault="00D255BC">
      <w:r>
        <w:separator/>
      </w:r>
    </w:p>
  </w:endnote>
  <w:endnote w:type="continuationSeparator" w:id="0">
    <w:p w:rsidR="00D255BC" w:rsidRDefault="00D2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B32" w:rsidRDefault="003F5826">
    <w:pPr>
      <w:pStyle w:val="Footer"/>
      <w:framePr w:wrap="around" w:vAnchor="text" w:hAnchor="margin" w:xAlign="right" w:y="1"/>
      <w:rPr>
        <w:rStyle w:val="PageNumber"/>
      </w:rPr>
    </w:pPr>
    <w:r>
      <w:rPr>
        <w:rStyle w:val="PageNumber"/>
      </w:rPr>
      <w:fldChar w:fldCharType="begin"/>
    </w:r>
    <w:r w:rsidR="00FE2B32">
      <w:rPr>
        <w:rStyle w:val="PageNumber"/>
      </w:rPr>
      <w:instrText xml:space="preserve">PAGE  </w:instrText>
    </w:r>
    <w:r>
      <w:rPr>
        <w:rStyle w:val="PageNumber"/>
      </w:rPr>
      <w:fldChar w:fldCharType="end"/>
    </w:r>
  </w:p>
  <w:p w:rsidR="00FE2B32" w:rsidRDefault="00FE2B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B32" w:rsidRDefault="003F5826">
    <w:pPr>
      <w:pStyle w:val="Footer"/>
      <w:framePr w:wrap="around" w:vAnchor="text" w:hAnchor="page" w:x="10261" w:y="-3"/>
      <w:rPr>
        <w:rStyle w:val="PageNumber"/>
        <w:rFonts w:ascii="Arial" w:hAnsi="Arial" w:cs="Arial"/>
        <w:sz w:val="20"/>
      </w:rPr>
    </w:pPr>
    <w:r>
      <w:rPr>
        <w:rStyle w:val="PageNumber"/>
        <w:rFonts w:ascii="Arial" w:hAnsi="Arial" w:cs="Arial"/>
        <w:sz w:val="20"/>
      </w:rPr>
      <w:fldChar w:fldCharType="begin"/>
    </w:r>
    <w:r w:rsidR="00FE2B32">
      <w:rPr>
        <w:rStyle w:val="PageNumber"/>
        <w:rFonts w:ascii="Arial" w:hAnsi="Arial" w:cs="Arial"/>
        <w:sz w:val="20"/>
      </w:rPr>
      <w:instrText xml:space="preserve">PAGE  </w:instrText>
    </w:r>
    <w:r>
      <w:rPr>
        <w:rStyle w:val="PageNumber"/>
        <w:rFonts w:ascii="Arial" w:hAnsi="Arial" w:cs="Arial"/>
        <w:sz w:val="20"/>
      </w:rPr>
      <w:fldChar w:fldCharType="separate"/>
    </w:r>
    <w:r w:rsidR="002E324D">
      <w:rPr>
        <w:rStyle w:val="PageNumber"/>
        <w:rFonts w:ascii="Arial" w:hAnsi="Arial" w:cs="Arial"/>
        <w:noProof/>
        <w:sz w:val="20"/>
      </w:rPr>
      <w:t>1</w:t>
    </w:r>
    <w:r>
      <w:rPr>
        <w:rStyle w:val="PageNumber"/>
        <w:rFonts w:ascii="Arial" w:hAnsi="Arial" w:cs="Arial"/>
        <w:sz w:val="20"/>
      </w:rPr>
      <w:fldChar w:fldCharType="end"/>
    </w:r>
  </w:p>
  <w:p w:rsidR="00FE2B32" w:rsidRDefault="00FE2B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5BC" w:rsidRDefault="00D255BC">
      <w:r>
        <w:separator/>
      </w:r>
    </w:p>
  </w:footnote>
  <w:footnote w:type="continuationSeparator" w:id="0">
    <w:p w:rsidR="00D255BC" w:rsidRDefault="00D25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1AE4"/>
    <w:multiLevelType w:val="hybridMultilevel"/>
    <w:tmpl w:val="AF967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6E58EA"/>
    <w:multiLevelType w:val="hybridMultilevel"/>
    <w:tmpl w:val="8B02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A57FE"/>
    <w:multiLevelType w:val="hybridMultilevel"/>
    <w:tmpl w:val="610474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E5E5096"/>
    <w:multiLevelType w:val="hybridMultilevel"/>
    <w:tmpl w:val="4030B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15C86"/>
    <w:multiLevelType w:val="hybridMultilevel"/>
    <w:tmpl w:val="6CB0F566"/>
    <w:lvl w:ilvl="0" w:tplc="C4381D9C">
      <w:start w:val="1"/>
      <w:numFmt w:val="bullet"/>
      <w:lvlText w:val="•"/>
      <w:lvlJc w:val="left"/>
      <w:pPr>
        <w:tabs>
          <w:tab w:val="num" w:pos="720"/>
        </w:tabs>
        <w:ind w:left="720" w:hanging="360"/>
      </w:pPr>
      <w:rPr>
        <w:rFonts w:ascii="Arial" w:hAnsi="Arial" w:hint="default"/>
      </w:rPr>
    </w:lvl>
    <w:lvl w:ilvl="1" w:tplc="70AAA57C" w:tentative="1">
      <w:start w:val="1"/>
      <w:numFmt w:val="bullet"/>
      <w:lvlText w:val="•"/>
      <w:lvlJc w:val="left"/>
      <w:pPr>
        <w:tabs>
          <w:tab w:val="num" w:pos="1440"/>
        </w:tabs>
        <w:ind w:left="1440" w:hanging="360"/>
      </w:pPr>
      <w:rPr>
        <w:rFonts w:ascii="Arial" w:hAnsi="Arial" w:hint="default"/>
      </w:rPr>
    </w:lvl>
    <w:lvl w:ilvl="2" w:tplc="FCAAAC56" w:tentative="1">
      <w:start w:val="1"/>
      <w:numFmt w:val="bullet"/>
      <w:lvlText w:val="•"/>
      <w:lvlJc w:val="left"/>
      <w:pPr>
        <w:tabs>
          <w:tab w:val="num" w:pos="2160"/>
        </w:tabs>
        <w:ind w:left="2160" w:hanging="360"/>
      </w:pPr>
      <w:rPr>
        <w:rFonts w:ascii="Arial" w:hAnsi="Arial" w:hint="default"/>
      </w:rPr>
    </w:lvl>
    <w:lvl w:ilvl="3" w:tplc="FA16B92A" w:tentative="1">
      <w:start w:val="1"/>
      <w:numFmt w:val="bullet"/>
      <w:lvlText w:val="•"/>
      <w:lvlJc w:val="left"/>
      <w:pPr>
        <w:tabs>
          <w:tab w:val="num" w:pos="2880"/>
        </w:tabs>
        <w:ind w:left="2880" w:hanging="360"/>
      </w:pPr>
      <w:rPr>
        <w:rFonts w:ascii="Arial" w:hAnsi="Arial" w:hint="default"/>
      </w:rPr>
    </w:lvl>
    <w:lvl w:ilvl="4" w:tplc="33603138" w:tentative="1">
      <w:start w:val="1"/>
      <w:numFmt w:val="bullet"/>
      <w:lvlText w:val="•"/>
      <w:lvlJc w:val="left"/>
      <w:pPr>
        <w:tabs>
          <w:tab w:val="num" w:pos="3600"/>
        </w:tabs>
        <w:ind w:left="3600" w:hanging="360"/>
      </w:pPr>
      <w:rPr>
        <w:rFonts w:ascii="Arial" w:hAnsi="Arial" w:hint="default"/>
      </w:rPr>
    </w:lvl>
    <w:lvl w:ilvl="5" w:tplc="8222CADE" w:tentative="1">
      <w:start w:val="1"/>
      <w:numFmt w:val="bullet"/>
      <w:lvlText w:val="•"/>
      <w:lvlJc w:val="left"/>
      <w:pPr>
        <w:tabs>
          <w:tab w:val="num" w:pos="4320"/>
        </w:tabs>
        <w:ind w:left="4320" w:hanging="360"/>
      </w:pPr>
      <w:rPr>
        <w:rFonts w:ascii="Arial" w:hAnsi="Arial" w:hint="default"/>
      </w:rPr>
    </w:lvl>
    <w:lvl w:ilvl="6" w:tplc="45C27B4A" w:tentative="1">
      <w:start w:val="1"/>
      <w:numFmt w:val="bullet"/>
      <w:lvlText w:val="•"/>
      <w:lvlJc w:val="left"/>
      <w:pPr>
        <w:tabs>
          <w:tab w:val="num" w:pos="5040"/>
        </w:tabs>
        <w:ind w:left="5040" w:hanging="360"/>
      </w:pPr>
      <w:rPr>
        <w:rFonts w:ascii="Arial" w:hAnsi="Arial" w:hint="default"/>
      </w:rPr>
    </w:lvl>
    <w:lvl w:ilvl="7" w:tplc="35A2D2C0" w:tentative="1">
      <w:start w:val="1"/>
      <w:numFmt w:val="bullet"/>
      <w:lvlText w:val="•"/>
      <w:lvlJc w:val="left"/>
      <w:pPr>
        <w:tabs>
          <w:tab w:val="num" w:pos="5760"/>
        </w:tabs>
        <w:ind w:left="5760" w:hanging="360"/>
      </w:pPr>
      <w:rPr>
        <w:rFonts w:ascii="Arial" w:hAnsi="Arial" w:hint="default"/>
      </w:rPr>
    </w:lvl>
    <w:lvl w:ilvl="8" w:tplc="CE0E8A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487F10"/>
    <w:multiLevelType w:val="hybridMultilevel"/>
    <w:tmpl w:val="4C084322"/>
    <w:lvl w:ilvl="0" w:tplc="788E3DC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26260"/>
    <w:multiLevelType w:val="hybridMultilevel"/>
    <w:tmpl w:val="A9BACEFE"/>
    <w:lvl w:ilvl="0" w:tplc="EDD4A2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627AD"/>
    <w:multiLevelType w:val="hybridMultilevel"/>
    <w:tmpl w:val="C7C8DEF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8" w15:restartNumberingAfterBreak="0">
    <w:nsid w:val="1F9140A5"/>
    <w:multiLevelType w:val="hybridMultilevel"/>
    <w:tmpl w:val="D50A633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001E93"/>
    <w:multiLevelType w:val="hybridMultilevel"/>
    <w:tmpl w:val="823239C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3111E4"/>
    <w:multiLevelType w:val="hybridMultilevel"/>
    <w:tmpl w:val="F3C8E642"/>
    <w:lvl w:ilvl="0" w:tplc="0B760DC6">
      <w:start w:val="1"/>
      <w:numFmt w:val="bullet"/>
      <w:lvlText w:val="•"/>
      <w:lvlJc w:val="left"/>
      <w:pPr>
        <w:tabs>
          <w:tab w:val="num" w:pos="720"/>
        </w:tabs>
        <w:ind w:left="720" w:hanging="360"/>
      </w:pPr>
      <w:rPr>
        <w:rFonts w:ascii="Times New Roman" w:hAnsi="Times New Roman" w:hint="default"/>
      </w:rPr>
    </w:lvl>
    <w:lvl w:ilvl="1" w:tplc="B0FE751E" w:tentative="1">
      <w:start w:val="1"/>
      <w:numFmt w:val="bullet"/>
      <w:lvlText w:val="•"/>
      <w:lvlJc w:val="left"/>
      <w:pPr>
        <w:tabs>
          <w:tab w:val="num" w:pos="1440"/>
        </w:tabs>
        <w:ind w:left="1440" w:hanging="360"/>
      </w:pPr>
      <w:rPr>
        <w:rFonts w:ascii="Times New Roman" w:hAnsi="Times New Roman" w:hint="default"/>
      </w:rPr>
    </w:lvl>
    <w:lvl w:ilvl="2" w:tplc="60783362" w:tentative="1">
      <w:start w:val="1"/>
      <w:numFmt w:val="bullet"/>
      <w:lvlText w:val="•"/>
      <w:lvlJc w:val="left"/>
      <w:pPr>
        <w:tabs>
          <w:tab w:val="num" w:pos="2160"/>
        </w:tabs>
        <w:ind w:left="2160" w:hanging="360"/>
      </w:pPr>
      <w:rPr>
        <w:rFonts w:ascii="Times New Roman" w:hAnsi="Times New Roman" w:hint="default"/>
      </w:rPr>
    </w:lvl>
    <w:lvl w:ilvl="3" w:tplc="7D8A862C" w:tentative="1">
      <w:start w:val="1"/>
      <w:numFmt w:val="bullet"/>
      <w:lvlText w:val="•"/>
      <w:lvlJc w:val="left"/>
      <w:pPr>
        <w:tabs>
          <w:tab w:val="num" w:pos="2880"/>
        </w:tabs>
        <w:ind w:left="2880" w:hanging="360"/>
      </w:pPr>
      <w:rPr>
        <w:rFonts w:ascii="Times New Roman" w:hAnsi="Times New Roman" w:hint="default"/>
      </w:rPr>
    </w:lvl>
    <w:lvl w:ilvl="4" w:tplc="EA520E36" w:tentative="1">
      <w:start w:val="1"/>
      <w:numFmt w:val="bullet"/>
      <w:lvlText w:val="•"/>
      <w:lvlJc w:val="left"/>
      <w:pPr>
        <w:tabs>
          <w:tab w:val="num" w:pos="3600"/>
        </w:tabs>
        <w:ind w:left="3600" w:hanging="360"/>
      </w:pPr>
      <w:rPr>
        <w:rFonts w:ascii="Times New Roman" w:hAnsi="Times New Roman" w:hint="default"/>
      </w:rPr>
    </w:lvl>
    <w:lvl w:ilvl="5" w:tplc="B34CD806" w:tentative="1">
      <w:start w:val="1"/>
      <w:numFmt w:val="bullet"/>
      <w:lvlText w:val="•"/>
      <w:lvlJc w:val="left"/>
      <w:pPr>
        <w:tabs>
          <w:tab w:val="num" w:pos="4320"/>
        </w:tabs>
        <w:ind w:left="4320" w:hanging="360"/>
      </w:pPr>
      <w:rPr>
        <w:rFonts w:ascii="Times New Roman" w:hAnsi="Times New Roman" w:hint="default"/>
      </w:rPr>
    </w:lvl>
    <w:lvl w:ilvl="6" w:tplc="FE28056E" w:tentative="1">
      <w:start w:val="1"/>
      <w:numFmt w:val="bullet"/>
      <w:lvlText w:val="•"/>
      <w:lvlJc w:val="left"/>
      <w:pPr>
        <w:tabs>
          <w:tab w:val="num" w:pos="5040"/>
        </w:tabs>
        <w:ind w:left="5040" w:hanging="360"/>
      </w:pPr>
      <w:rPr>
        <w:rFonts w:ascii="Times New Roman" w:hAnsi="Times New Roman" w:hint="default"/>
      </w:rPr>
    </w:lvl>
    <w:lvl w:ilvl="7" w:tplc="AD6ECE5A" w:tentative="1">
      <w:start w:val="1"/>
      <w:numFmt w:val="bullet"/>
      <w:lvlText w:val="•"/>
      <w:lvlJc w:val="left"/>
      <w:pPr>
        <w:tabs>
          <w:tab w:val="num" w:pos="5760"/>
        </w:tabs>
        <w:ind w:left="5760" w:hanging="360"/>
      </w:pPr>
      <w:rPr>
        <w:rFonts w:ascii="Times New Roman" w:hAnsi="Times New Roman" w:hint="default"/>
      </w:rPr>
    </w:lvl>
    <w:lvl w:ilvl="8" w:tplc="1114B02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60B3AE0"/>
    <w:multiLevelType w:val="hybridMultilevel"/>
    <w:tmpl w:val="E9C01D2E"/>
    <w:lvl w:ilvl="0" w:tplc="FBBCFF9E">
      <w:start w:val="1"/>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5038C1"/>
    <w:multiLevelType w:val="hybridMultilevel"/>
    <w:tmpl w:val="8F8A24CC"/>
    <w:lvl w:ilvl="0" w:tplc="D5303A58">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927FA"/>
    <w:multiLevelType w:val="multilevel"/>
    <w:tmpl w:val="DE56486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626241"/>
    <w:multiLevelType w:val="hybridMultilevel"/>
    <w:tmpl w:val="26367394"/>
    <w:lvl w:ilvl="0" w:tplc="8A66CB00">
      <w:start w:val="1"/>
      <w:numFmt w:val="bullet"/>
      <w:lvlText w:val=""/>
      <w:lvlJc w:val="left"/>
      <w:pPr>
        <w:tabs>
          <w:tab w:val="num" w:pos="720"/>
        </w:tabs>
        <w:ind w:left="720" w:hanging="360"/>
      </w:pPr>
      <w:rPr>
        <w:rFonts w:ascii="Wingdings" w:hAnsi="Wingdings" w:hint="default"/>
      </w:rPr>
    </w:lvl>
    <w:lvl w:ilvl="1" w:tplc="3E0A8204" w:tentative="1">
      <w:start w:val="1"/>
      <w:numFmt w:val="bullet"/>
      <w:lvlText w:val=""/>
      <w:lvlJc w:val="left"/>
      <w:pPr>
        <w:tabs>
          <w:tab w:val="num" w:pos="1440"/>
        </w:tabs>
        <w:ind w:left="1440" w:hanging="360"/>
      </w:pPr>
      <w:rPr>
        <w:rFonts w:ascii="Wingdings" w:hAnsi="Wingdings" w:hint="default"/>
      </w:rPr>
    </w:lvl>
    <w:lvl w:ilvl="2" w:tplc="3A9E2204" w:tentative="1">
      <w:start w:val="1"/>
      <w:numFmt w:val="bullet"/>
      <w:lvlText w:val=""/>
      <w:lvlJc w:val="left"/>
      <w:pPr>
        <w:tabs>
          <w:tab w:val="num" w:pos="2160"/>
        </w:tabs>
        <w:ind w:left="2160" w:hanging="360"/>
      </w:pPr>
      <w:rPr>
        <w:rFonts w:ascii="Wingdings" w:hAnsi="Wingdings" w:hint="default"/>
      </w:rPr>
    </w:lvl>
    <w:lvl w:ilvl="3" w:tplc="586A4742" w:tentative="1">
      <w:start w:val="1"/>
      <w:numFmt w:val="bullet"/>
      <w:lvlText w:val=""/>
      <w:lvlJc w:val="left"/>
      <w:pPr>
        <w:tabs>
          <w:tab w:val="num" w:pos="2880"/>
        </w:tabs>
        <w:ind w:left="2880" w:hanging="360"/>
      </w:pPr>
      <w:rPr>
        <w:rFonts w:ascii="Wingdings" w:hAnsi="Wingdings" w:hint="default"/>
      </w:rPr>
    </w:lvl>
    <w:lvl w:ilvl="4" w:tplc="27541718" w:tentative="1">
      <w:start w:val="1"/>
      <w:numFmt w:val="bullet"/>
      <w:lvlText w:val=""/>
      <w:lvlJc w:val="left"/>
      <w:pPr>
        <w:tabs>
          <w:tab w:val="num" w:pos="3600"/>
        </w:tabs>
        <w:ind w:left="3600" w:hanging="360"/>
      </w:pPr>
      <w:rPr>
        <w:rFonts w:ascii="Wingdings" w:hAnsi="Wingdings" w:hint="default"/>
      </w:rPr>
    </w:lvl>
    <w:lvl w:ilvl="5" w:tplc="3A46F238" w:tentative="1">
      <w:start w:val="1"/>
      <w:numFmt w:val="bullet"/>
      <w:lvlText w:val=""/>
      <w:lvlJc w:val="left"/>
      <w:pPr>
        <w:tabs>
          <w:tab w:val="num" w:pos="4320"/>
        </w:tabs>
        <w:ind w:left="4320" w:hanging="360"/>
      </w:pPr>
      <w:rPr>
        <w:rFonts w:ascii="Wingdings" w:hAnsi="Wingdings" w:hint="default"/>
      </w:rPr>
    </w:lvl>
    <w:lvl w:ilvl="6" w:tplc="DD8A7D0C" w:tentative="1">
      <w:start w:val="1"/>
      <w:numFmt w:val="bullet"/>
      <w:lvlText w:val=""/>
      <w:lvlJc w:val="left"/>
      <w:pPr>
        <w:tabs>
          <w:tab w:val="num" w:pos="5040"/>
        </w:tabs>
        <w:ind w:left="5040" w:hanging="360"/>
      </w:pPr>
      <w:rPr>
        <w:rFonts w:ascii="Wingdings" w:hAnsi="Wingdings" w:hint="default"/>
      </w:rPr>
    </w:lvl>
    <w:lvl w:ilvl="7" w:tplc="AA24B814" w:tentative="1">
      <w:start w:val="1"/>
      <w:numFmt w:val="bullet"/>
      <w:lvlText w:val=""/>
      <w:lvlJc w:val="left"/>
      <w:pPr>
        <w:tabs>
          <w:tab w:val="num" w:pos="5760"/>
        </w:tabs>
        <w:ind w:left="5760" w:hanging="360"/>
      </w:pPr>
      <w:rPr>
        <w:rFonts w:ascii="Wingdings" w:hAnsi="Wingdings" w:hint="default"/>
      </w:rPr>
    </w:lvl>
    <w:lvl w:ilvl="8" w:tplc="662C051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17FF0"/>
    <w:multiLevelType w:val="hybridMultilevel"/>
    <w:tmpl w:val="BA50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85E0F"/>
    <w:multiLevelType w:val="hybridMultilevel"/>
    <w:tmpl w:val="73FC1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520500"/>
    <w:multiLevelType w:val="hybridMultilevel"/>
    <w:tmpl w:val="2FB6B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8C0579"/>
    <w:multiLevelType w:val="hybridMultilevel"/>
    <w:tmpl w:val="6E204CE2"/>
    <w:lvl w:ilvl="0" w:tplc="5B08C0C2">
      <w:start w:val="2012"/>
      <w:numFmt w:val="bullet"/>
      <w:lvlText w:val="-"/>
      <w:lvlJc w:val="left"/>
      <w:pPr>
        <w:ind w:left="720" w:hanging="360"/>
      </w:pPr>
      <w:rPr>
        <w:rFonts w:ascii="Sylfaen" w:eastAsia="Times New Roman" w:hAnsi="Sylfae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C8209A"/>
    <w:multiLevelType w:val="hybridMultilevel"/>
    <w:tmpl w:val="DB6691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E2157"/>
    <w:multiLevelType w:val="hybridMultilevel"/>
    <w:tmpl w:val="04D810A0"/>
    <w:lvl w:ilvl="0" w:tplc="E0387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C0032"/>
    <w:multiLevelType w:val="hybridMultilevel"/>
    <w:tmpl w:val="F0244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C32824"/>
    <w:multiLevelType w:val="hybridMultilevel"/>
    <w:tmpl w:val="686E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D21E9"/>
    <w:multiLevelType w:val="hybridMultilevel"/>
    <w:tmpl w:val="5A22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525E8"/>
    <w:multiLevelType w:val="hybridMultilevel"/>
    <w:tmpl w:val="5032E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F0414"/>
    <w:multiLevelType w:val="hybridMultilevel"/>
    <w:tmpl w:val="687E0FD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5D50AF8"/>
    <w:multiLevelType w:val="hybridMultilevel"/>
    <w:tmpl w:val="18D0463C"/>
    <w:lvl w:ilvl="0" w:tplc="D8D02C12">
      <w:start w:val="1"/>
      <w:numFmt w:val="bullet"/>
      <w:lvlText w:val="•"/>
      <w:lvlJc w:val="left"/>
      <w:pPr>
        <w:tabs>
          <w:tab w:val="num" w:pos="720"/>
        </w:tabs>
        <w:ind w:left="720" w:hanging="360"/>
      </w:pPr>
      <w:rPr>
        <w:rFonts w:ascii="Times New Roman" w:hAnsi="Times New Roman" w:hint="default"/>
      </w:rPr>
    </w:lvl>
    <w:lvl w:ilvl="1" w:tplc="26D88EB2" w:tentative="1">
      <w:start w:val="1"/>
      <w:numFmt w:val="bullet"/>
      <w:lvlText w:val="•"/>
      <w:lvlJc w:val="left"/>
      <w:pPr>
        <w:tabs>
          <w:tab w:val="num" w:pos="1440"/>
        </w:tabs>
        <w:ind w:left="1440" w:hanging="360"/>
      </w:pPr>
      <w:rPr>
        <w:rFonts w:ascii="Times New Roman" w:hAnsi="Times New Roman" w:hint="default"/>
      </w:rPr>
    </w:lvl>
    <w:lvl w:ilvl="2" w:tplc="DB68C23C" w:tentative="1">
      <w:start w:val="1"/>
      <w:numFmt w:val="bullet"/>
      <w:lvlText w:val="•"/>
      <w:lvlJc w:val="left"/>
      <w:pPr>
        <w:tabs>
          <w:tab w:val="num" w:pos="2160"/>
        </w:tabs>
        <w:ind w:left="2160" w:hanging="360"/>
      </w:pPr>
      <w:rPr>
        <w:rFonts w:ascii="Times New Roman" w:hAnsi="Times New Roman" w:hint="default"/>
      </w:rPr>
    </w:lvl>
    <w:lvl w:ilvl="3" w:tplc="17149E32" w:tentative="1">
      <w:start w:val="1"/>
      <w:numFmt w:val="bullet"/>
      <w:lvlText w:val="•"/>
      <w:lvlJc w:val="left"/>
      <w:pPr>
        <w:tabs>
          <w:tab w:val="num" w:pos="2880"/>
        </w:tabs>
        <w:ind w:left="2880" w:hanging="360"/>
      </w:pPr>
      <w:rPr>
        <w:rFonts w:ascii="Times New Roman" w:hAnsi="Times New Roman" w:hint="default"/>
      </w:rPr>
    </w:lvl>
    <w:lvl w:ilvl="4" w:tplc="7860860E" w:tentative="1">
      <w:start w:val="1"/>
      <w:numFmt w:val="bullet"/>
      <w:lvlText w:val="•"/>
      <w:lvlJc w:val="left"/>
      <w:pPr>
        <w:tabs>
          <w:tab w:val="num" w:pos="3600"/>
        </w:tabs>
        <w:ind w:left="3600" w:hanging="360"/>
      </w:pPr>
      <w:rPr>
        <w:rFonts w:ascii="Times New Roman" w:hAnsi="Times New Roman" w:hint="default"/>
      </w:rPr>
    </w:lvl>
    <w:lvl w:ilvl="5" w:tplc="524A6280" w:tentative="1">
      <w:start w:val="1"/>
      <w:numFmt w:val="bullet"/>
      <w:lvlText w:val="•"/>
      <w:lvlJc w:val="left"/>
      <w:pPr>
        <w:tabs>
          <w:tab w:val="num" w:pos="4320"/>
        </w:tabs>
        <w:ind w:left="4320" w:hanging="360"/>
      </w:pPr>
      <w:rPr>
        <w:rFonts w:ascii="Times New Roman" w:hAnsi="Times New Roman" w:hint="default"/>
      </w:rPr>
    </w:lvl>
    <w:lvl w:ilvl="6" w:tplc="56989E1A" w:tentative="1">
      <w:start w:val="1"/>
      <w:numFmt w:val="bullet"/>
      <w:lvlText w:val="•"/>
      <w:lvlJc w:val="left"/>
      <w:pPr>
        <w:tabs>
          <w:tab w:val="num" w:pos="5040"/>
        </w:tabs>
        <w:ind w:left="5040" w:hanging="360"/>
      </w:pPr>
      <w:rPr>
        <w:rFonts w:ascii="Times New Roman" w:hAnsi="Times New Roman" w:hint="default"/>
      </w:rPr>
    </w:lvl>
    <w:lvl w:ilvl="7" w:tplc="BB7E8940" w:tentative="1">
      <w:start w:val="1"/>
      <w:numFmt w:val="bullet"/>
      <w:lvlText w:val="•"/>
      <w:lvlJc w:val="left"/>
      <w:pPr>
        <w:tabs>
          <w:tab w:val="num" w:pos="5760"/>
        </w:tabs>
        <w:ind w:left="5760" w:hanging="360"/>
      </w:pPr>
      <w:rPr>
        <w:rFonts w:ascii="Times New Roman" w:hAnsi="Times New Roman" w:hint="default"/>
      </w:rPr>
    </w:lvl>
    <w:lvl w:ilvl="8" w:tplc="DCF8A45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65C496C"/>
    <w:multiLevelType w:val="hybridMultilevel"/>
    <w:tmpl w:val="E932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56094"/>
    <w:multiLevelType w:val="hybridMultilevel"/>
    <w:tmpl w:val="20523E80"/>
    <w:lvl w:ilvl="0" w:tplc="2DAA3B12">
      <w:start w:val="1"/>
      <w:numFmt w:val="lowerRoman"/>
      <w:lvlText w:val="%1)"/>
      <w:lvlJc w:val="left"/>
      <w:pPr>
        <w:ind w:left="1004" w:hanging="720"/>
      </w:pPr>
      <w:rPr>
        <w:rFonts w:hint="default"/>
        <w:b/>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D183CD7"/>
    <w:multiLevelType w:val="hybridMultilevel"/>
    <w:tmpl w:val="6728F9E0"/>
    <w:lvl w:ilvl="0" w:tplc="FDFA175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CC5D6B"/>
    <w:multiLevelType w:val="hybridMultilevel"/>
    <w:tmpl w:val="5A00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95570"/>
    <w:multiLevelType w:val="hybridMultilevel"/>
    <w:tmpl w:val="E4D8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E17A14"/>
    <w:multiLevelType w:val="hybridMultilevel"/>
    <w:tmpl w:val="6B26F3A0"/>
    <w:lvl w:ilvl="0" w:tplc="C4381D9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35A9F"/>
    <w:multiLevelType w:val="hybridMultilevel"/>
    <w:tmpl w:val="0CBE244C"/>
    <w:lvl w:ilvl="0" w:tplc="E9365E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8"/>
  </w:num>
  <w:num w:numId="4">
    <w:abstractNumId w:val="29"/>
  </w:num>
  <w:num w:numId="5">
    <w:abstractNumId w:val="2"/>
  </w:num>
  <w:num w:numId="6">
    <w:abstractNumId w:val="13"/>
  </w:num>
  <w:num w:numId="7">
    <w:abstractNumId w:val="5"/>
  </w:num>
  <w:num w:numId="8">
    <w:abstractNumId w:val="4"/>
  </w:num>
  <w:num w:numId="9">
    <w:abstractNumId w:val="26"/>
  </w:num>
  <w:num w:numId="10">
    <w:abstractNumId w:val="10"/>
  </w:num>
  <w:num w:numId="11">
    <w:abstractNumId w:val="32"/>
  </w:num>
  <w:num w:numId="12">
    <w:abstractNumId w:val="24"/>
  </w:num>
  <w:num w:numId="13">
    <w:abstractNumId w:val="25"/>
  </w:num>
  <w:num w:numId="14">
    <w:abstractNumId w:val="31"/>
  </w:num>
  <w:num w:numId="15">
    <w:abstractNumId w:val="19"/>
  </w:num>
  <w:num w:numId="16">
    <w:abstractNumId w:val="15"/>
  </w:num>
  <w:num w:numId="17">
    <w:abstractNumId w:val="8"/>
  </w:num>
  <w:num w:numId="18">
    <w:abstractNumId w:val="22"/>
  </w:num>
  <w:num w:numId="19">
    <w:abstractNumId w:val="0"/>
  </w:num>
  <w:num w:numId="20">
    <w:abstractNumId w:val="27"/>
  </w:num>
  <w:num w:numId="21">
    <w:abstractNumId w:val="14"/>
  </w:num>
  <w:num w:numId="22">
    <w:abstractNumId w:val="23"/>
  </w:num>
  <w:num w:numId="23">
    <w:abstractNumId w:val="33"/>
  </w:num>
  <w:num w:numId="24">
    <w:abstractNumId w:val="6"/>
  </w:num>
  <w:num w:numId="25">
    <w:abstractNumId w:val="7"/>
  </w:num>
  <w:num w:numId="26">
    <w:abstractNumId w:val="17"/>
  </w:num>
  <w:num w:numId="27">
    <w:abstractNumId w:val="18"/>
  </w:num>
  <w:num w:numId="28">
    <w:abstractNumId w:val="30"/>
  </w:num>
  <w:num w:numId="29">
    <w:abstractNumId w:val="20"/>
  </w:num>
  <w:num w:numId="30">
    <w:abstractNumId w:val="21"/>
  </w:num>
  <w:num w:numId="31">
    <w:abstractNumId w:val="12"/>
  </w:num>
  <w:num w:numId="32">
    <w:abstractNumId w:val="3"/>
  </w:num>
  <w:num w:numId="33">
    <w:abstractNumId w:val="11"/>
  </w:num>
  <w:num w:numId="34">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CE"/>
    <w:rsid w:val="000046D8"/>
    <w:rsid w:val="0000502A"/>
    <w:rsid w:val="00006A07"/>
    <w:rsid w:val="00006AC5"/>
    <w:rsid w:val="000102FE"/>
    <w:rsid w:val="00014BE3"/>
    <w:rsid w:val="00015EBB"/>
    <w:rsid w:val="00020FAE"/>
    <w:rsid w:val="0002101C"/>
    <w:rsid w:val="000257D2"/>
    <w:rsid w:val="000262AF"/>
    <w:rsid w:val="000326D7"/>
    <w:rsid w:val="000370B9"/>
    <w:rsid w:val="0004323C"/>
    <w:rsid w:val="0004488C"/>
    <w:rsid w:val="0004530A"/>
    <w:rsid w:val="00046496"/>
    <w:rsid w:val="0004707E"/>
    <w:rsid w:val="000470C6"/>
    <w:rsid w:val="00051569"/>
    <w:rsid w:val="0006054B"/>
    <w:rsid w:val="000608A4"/>
    <w:rsid w:val="0006530A"/>
    <w:rsid w:val="0006575D"/>
    <w:rsid w:val="00067051"/>
    <w:rsid w:val="00076D20"/>
    <w:rsid w:val="0008003F"/>
    <w:rsid w:val="00080EF4"/>
    <w:rsid w:val="00082D0A"/>
    <w:rsid w:val="00083DB2"/>
    <w:rsid w:val="0009000B"/>
    <w:rsid w:val="00090383"/>
    <w:rsid w:val="00096CA5"/>
    <w:rsid w:val="000A03E7"/>
    <w:rsid w:val="000A1245"/>
    <w:rsid w:val="000A332A"/>
    <w:rsid w:val="000A393D"/>
    <w:rsid w:val="000A5087"/>
    <w:rsid w:val="000A50B1"/>
    <w:rsid w:val="000B7F7A"/>
    <w:rsid w:val="000C3F17"/>
    <w:rsid w:val="000C54F8"/>
    <w:rsid w:val="000C6F74"/>
    <w:rsid w:val="000C7497"/>
    <w:rsid w:val="000D7B6B"/>
    <w:rsid w:val="000E141F"/>
    <w:rsid w:val="000E5358"/>
    <w:rsid w:val="000E78D1"/>
    <w:rsid w:val="000F0205"/>
    <w:rsid w:val="000F1734"/>
    <w:rsid w:val="000F3760"/>
    <w:rsid w:val="000F414B"/>
    <w:rsid w:val="000F49C0"/>
    <w:rsid w:val="000F5659"/>
    <w:rsid w:val="000F6568"/>
    <w:rsid w:val="000F75AA"/>
    <w:rsid w:val="000F771F"/>
    <w:rsid w:val="00102B87"/>
    <w:rsid w:val="00113944"/>
    <w:rsid w:val="00113FC7"/>
    <w:rsid w:val="001151D6"/>
    <w:rsid w:val="00117429"/>
    <w:rsid w:val="00120980"/>
    <w:rsid w:val="00122352"/>
    <w:rsid w:val="00122EC2"/>
    <w:rsid w:val="00124F43"/>
    <w:rsid w:val="00126089"/>
    <w:rsid w:val="00134021"/>
    <w:rsid w:val="0014526C"/>
    <w:rsid w:val="00151887"/>
    <w:rsid w:val="001519E0"/>
    <w:rsid w:val="0015780A"/>
    <w:rsid w:val="00160453"/>
    <w:rsid w:val="00162455"/>
    <w:rsid w:val="00164772"/>
    <w:rsid w:val="00166980"/>
    <w:rsid w:val="001710FC"/>
    <w:rsid w:val="00173921"/>
    <w:rsid w:val="00175168"/>
    <w:rsid w:val="00176AC9"/>
    <w:rsid w:val="00177A11"/>
    <w:rsid w:val="00182DB0"/>
    <w:rsid w:val="00184063"/>
    <w:rsid w:val="00186B77"/>
    <w:rsid w:val="001905FA"/>
    <w:rsid w:val="001930C4"/>
    <w:rsid w:val="00195616"/>
    <w:rsid w:val="00196BAC"/>
    <w:rsid w:val="001A667D"/>
    <w:rsid w:val="001A770B"/>
    <w:rsid w:val="001B03EB"/>
    <w:rsid w:val="001B0982"/>
    <w:rsid w:val="001B2C27"/>
    <w:rsid w:val="001B4905"/>
    <w:rsid w:val="001B6DAF"/>
    <w:rsid w:val="001B6EC7"/>
    <w:rsid w:val="001C2C90"/>
    <w:rsid w:val="001C4521"/>
    <w:rsid w:val="001D35C5"/>
    <w:rsid w:val="001D3BDB"/>
    <w:rsid w:val="001D531E"/>
    <w:rsid w:val="001D676B"/>
    <w:rsid w:val="001D73AE"/>
    <w:rsid w:val="001D7770"/>
    <w:rsid w:val="001E16F7"/>
    <w:rsid w:val="001E24C4"/>
    <w:rsid w:val="001E2818"/>
    <w:rsid w:val="001E6136"/>
    <w:rsid w:val="001E74C2"/>
    <w:rsid w:val="001F15FB"/>
    <w:rsid w:val="001F67A4"/>
    <w:rsid w:val="002021DD"/>
    <w:rsid w:val="00202319"/>
    <w:rsid w:val="00202B3E"/>
    <w:rsid w:val="00202F49"/>
    <w:rsid w:val="00207F2B"/>
    <w:rsid w:val="002104BB"/>
    <w:rsid w:val="00211333"/>
    <w:rsid w:val="002137C2"/>
    <w:rsid w:val="00215A05"/>
    <w:rsid w:val="00215D4E"/>
    <w:rsid w:val="00216877"/>
    <w:rsid w:val="00222922"/>
    <w:rsid w:val="00224CD9"/>
    <w:rsid w:val="00226FB4"/>
    <w:rsid w:val="00230C45"/>
    <w:rsid w:val="002328D6"/>
    <w:rsid w:val="00234772"/>
    <w:rsid w:val="00236B3D"/>
    <w:rsid w:val="00236C9E"/>
    <w:rsid w:val="002379A1"/>
    <w:rsid w:val="00237F56"/>
    <w:rsid w:val="00242217"/>
    <w:rsid w:val="00242481"/>
    <w:rsid w:val="00243B47"/>
    <w:rsid w:val="002458EF"/>
    <w:rsid w:val="00245AB7"/>
    <w:rsid w:val="00251F7E"/>
    <w:rsid w:val="002555A3"/>
    <w:rsid w:val="00257C87"/>
    <w:rsid w:val="00262E6C"/>
    <w:rsid w:val="00272564"/>
    <w:rsid w:val="00272CD7"/>
    <w:rsid w:val="00282ACE"/>
    <w:rsid w:val="0028362B"/>
    <w:rsid w:val="00290488"/>
    <w:rsid w:val="00290A9D"/>
    <w:rsid w:val="0029144B"/>
    <w:rsid w:val="00295221"/>
    <w:rsid w:val="0029587F"/>
    <w:rsid w:val="0029643B"/>
    <w:rsid w:val="002A0AAB"/>
    <w:rsid w:val="002A0E67"/>
    <w:rsid w:val="002A4E50"/>
    <w:rsid w:val="002A7508"/>
    <w:rsid w:val="002B163D"/>
    <w:rsid w:val="002B5283"/>
    <w:rsid w:val="002B70EC"/>
    <w:rsid w:val="002C0A6E"/>
    <w:rsid w:val="002C2148"/>
    <w:rsid w:val="002C2D9A"/>
    <w:rsid w:val="002C6D8B"/>
    <w:rsid w:val="002D3DD0"/>
    <w:rsid w:val="002D507C"/>
    <w:rsid w:val="002E08F4"/>
    <w:rsid w:val="002E0941"/>
    <w:rsid w:val="002E2454"/>
    <w:rsid w:val="002E2B58"/>
    <w:rsid w:val="002E324D"/>
    <w:rsid w:val="002E4777"/>
    <w:rsid w:val="002F058D"/>
    <w:rsid w:val="002F15FD"/>
    <w:rsid w:val="002F1E38"/>
    <w:rsid w:val="002F2BE4"/>
    <w:rsid w:val="002F2C6D"/>
    <w:rsid w:val="002F3897"/>
    <w:rsid w:val="002F38A3"/>
    <w:rsid w:val="002F68CC"/>
    <w:rsid w:val="002F6950"/>
    <w:rsid w:val="002F6ABC"/>
    <w:rsid w:val="00300280"/>
    <w:rsid w:val="003013EF"/>
    <w:rsid w:val="0030279C"/>
    <w:rsid w:val="0030331B"/>
    <w:rsid w:val="00306DBB"/>
    <w:rsid w:val="00307267"/>
    <w:rsid w:val="0031004B"/>
    <w:rsid w:val="003121F4"/>
    <w:rsid w:val="003128BD"/>
    <w:rsid w:val="00315410"/>
    <w:rsid w:val="003157F0"/>
    <w:rsid w:val="00316BA5"/>
    <w:rsid w:val="00316D3F"/>
    <w:rsid w:val="0031778A"/>
    <w:rsid w:val="00320133"/>
    <w:rsid w:val="00326028"/>
    <w:rsid w:val="00326128"/>
    <w:rsid w:val="003333C9"/>
    <w:rsid w:val="00334559"/>
    <w:rsid w:val="00337218"/>
    <w:rsid w:val="0034175C"/>
    <w:rsid w:val="00341CCC"/>
    <w:rsid w:val="003421C9"/>
    <w:rsid w:val="0034682C"/>
    <w:rsid w:val="00346D93"/>
    <w:rsid w:val="0034769D"/>
    <w:rsid w:val="003503FB"/>
    <w:rsid w:val="003610F1"/>
    <w:rsid w:val="00364208"/>
    <w:rsid w:val="00364F09"/>
    <w:rsid w:val="003655AE"/>
    <w:rsid w:val="0036599A"/>
    <w:rsid w:val="00367E62"/>
    <w:rsid w:val="00370F8B"/>
    <w:rsid w:val="00372310"/>
    <w:rsid w:val="00372386"/>
    <w:rsid w:val="00373044"/>
    <w:rsid w:val="00373FA1"/>
    <w:rsid w:val="0037491D"/>
    <w:rsid w:val="00376C1D"/>
    <w:rsid w:val="00377624"/>
    <w:rsid w:val="00377EA8"/>
    <w:rsid w:val="003808D2"/>
    <w:rsid w:val="00381E12"/>
    <w:rsid w:val="00383C32"/>
    <w:rsid w:val="003863A2"/>
    <w:rsid w:val="0039004B"/>
    <w:rsid w:val="003915DE"/>
    <w:rsid w:val="00391B75"/>
    <w:rsid w:val="003924EE"/>
    <w:rsid w:val="00393F89"/>
    <w:rsid w:val="00394538"/>
    <w:rsid w:val="00394ED9"/>
    <w:rsid w:val="003951DD"/>
    <w:rsid w:val="00397013"/>
    <w:rsid w:val="003A17D8"/>
    <w:rsid w:val="003A3C36"/>
    <w:rsid w:val="003A6051"/>
    <w:rsid w:val="003A741A"/>
    <w:rsid w:val="003A7C0E"/>
    <w:rsid w:val="003B0374"/>
    <w:rsid w:val="003B2022"/>
    <w:rsid w:val="003B48B7"/>
    <w:rsid w:val="003B53BF"/>
    <w:rsid w:val="003B585E"/>
    <w:rsid w:val="003C098E"/>
    <w:rsid w:val="003C1883"/>
    <w:rsid w:val="003C3B0D"/>
    <w:rsid w:val="003C437A"/>
    <w:rsid w:val="003C5F3B"/>
    <w:rsid w:val="003D3412"/>
    <w:rsid w:val="003E4371"/>
    <w:rsid w:val="003E5D3E"/>
    <w:rsid w:val="003E6B1C"/>
    <w:rsid w:val="003F0639"/>
    <w:rsid w:val="003F0789"/>
    <w:rsid w:val="003F0F03"/>
    <w:rsid w:val="003F4997"/>
    <w:rsid w:val="003F54C7"/>
    <w:rsid w:val="003F5826"/>
    <w:rsid w:val="003F6557"/>
    <w:rsid w:val="003F74E2"/>
    <w:rsid w:val="00414D5E"/>
    <w:rsid w:val="00422EFC"/>
    <w:rsid w:val="00425930"/>
    <w:rsid w:val="00430367"/>
    <w:rsid w:val="00431A20"/>
    <w:rsid w:val="0043364E"/>
    <w:rsid w:val="00435010"/>
    <w:rsid w:val="0044008B"/>
    <w:rsid w:val="004401DC"/>
    <w:rsid w:val="00441C02"/>
    <w:rsid w:val="00441EC5"/>
    <w:rsid w:val="00442D6C"/>
    <w:rsid w:val="004447F3"/>
    <w:rsid w:val="00447AEA"/>
    <w:rsid w:val="00447CEB"/>
    <w:rsid w:val="004502F7"/>
    <w:rsid w:val="00450695"/>
    <w:rsid w:val="00452E04"/>
    <w:rsid w:val="0045445D"/>
    <w:rsid w:val="00454BFA"/>
    <w:rsid w:val="004552DE"/>
    <w:rsid w:val="00456CEA"/>
    <w:rsid w:val="00460A12"/>
    <w:rsid w:val="00464E02"/>
    <w:rsid w:val="004656A7"/>
    <w:rsid w:val="004658F1"/>
    <w:rsid w:val="00467933"/>
    <w:rsid w:val="00467C91"/>
    <w:rsid w:val="00467D52"/>
    <w:rsid w:val="00470028"/>
    <w:rsid w:val="0047006D"/>
    <w:rsid w:val="00471808"/>
    <w:rsid w:val="0047206C"/>
    <w:rsid w:val="00472910"/>
    <w:rsid w:val="004746FC"/>
    <w:rsid w:val="00474BEB"/>
    <w:rsid w:val="00476CEC"/>
    <w:rsid w:val="00477F2E"/>
    <w:rsid w:val="00477F88"/>
    <w:rsid w:val="004824B9"/>
    <w:rsid w:val="00484BA8"/>
    <w:rsid w:val="00487A33"/>
    <w:rsid w:val="0049060A"/>
    <w:rsid w:val="00492227"/>
    <w:rsid w:val="00495A1F"/>
    <w:rsid w:val="00497377"/>
    <w:rsid w:val="004A069A"/>
    <w:rsid w:val="004A0F36"/>
    <w:rsid w:val="004A369E"/>
    <w:rsid w:val="004A401D"/>
    <w:rsid w:val="004A6462"/>
    <w:rsid w:val="004B170E"/>
    <w:rsid w:val="004B27D7"/>
    <w:rsid w:val="004B2838"/>
    <w:rsid w:val="004B3581"/>
    <w:rsid w:val="004B43F7"/>
    <w:rsid w:val="004B6602"/>
    <w:rsid w:val="004B6762"/>
    <w:rsid w:val="004C210A"/>
    <w:rsid w:val="004D1B33"/>
    <w:rsid w:val="004D522C"/>
    <w:rsid w:val="004E1421"/>
    <w:rsid w:val="004E1A68"/>
    <w:rsid w:val="004E6D55"/>
    <w:rsid w:val="004F0321"/>
    <w:rsid w:val="004F11A3"/>
    <w:rsid w:val="004F1A05"/>
    <w:rsid w:val="004F3578"/>
    <w:rsid w:val="004F5A8F"/>
    <w:rsid w:val="004F7B50"/>
    <w:rsid w:val="00502D8B"/>
    <w:rsid w:val="005038BD"/>
    <w:rsid w:val="00503F4A"/>
    <w:rsid w:val="00504AB2"/>
    <w:rsid w:val="00506582"/>
    <w:rsid w:val="0051405D"/>
    <w:rsid w:val="005141D9"/>
    <w:rsid w:val="00516FAD"/>
    <w:rsid w:val="00522218"/>
    <w:rsid w:val="00523ADF"/>
    <w:rsid w:val="005248D8"/>
    <w:rsid w:val="00530A75"/>
    <w:rsid w:val="00531DC1"/>
    <w:rsid w:val="00532191"/>
    <w:rsid w:val="0053265F"/>
    <w:rsid w:val="00534E50"/>
    <w:rsid w:val="00540419"/>
    <w:rsid w:val="00540F89"/>
    <w:rsid w:val="005411A8"/>
    <w:rsid w:val="00541564"/>
    <w:rsid w:val="00545889"/>
    <w:rsid w:val="00547BC0"/>
    <w:rsid w:val="00547DC5"/>
    <w:rsid w:val="005524DB"/>
    <w:rsid w:val="00553E6F"/>
    <w:rsid w:val="0055619E"/>
    <w:rsid w:val="0055796F"/>
    <w:rsid w:val="0056050B"/>
    <w:rsid w:val="00565DA8"/>
    <w:rsid w:val="00567812"/>
    <w:rsid w:val="00570909"/>
    <w:rsid w:val="00571DE3"/>
    <w:rsid w:val="00573A0C"/>
    <w:rsid w:val="00583E0B"/>
    <w:rsid w:val="005863E3"/>
    <w:rsid w:val="00587072"/>
    <w:rsid w:val="005906DB"/>
    <w:rsid w:val="00591ABA"/>
    <w:rsid w:val="00593A2B"/>
    <w:rsid w:val="00595FE0"/>
    <w:rsid w:val="005A0CB3"/>
    <w:rsid w:val="005A1571"/>
    <w:rsid w:val="005A28C9"/>
    <w:rsid w:val="005A4240"/>
    <w:rsid w:val="005A5ADC"/>
    <w:rsid w:val="005A5C86"/>
    <w:rsid w:val="005A5F74"/>
    <w:rsid w:val="005A669B"/>
    <w:rsid w:val="005A6C02"/>
    <w:rsid w:val="005B384E"/>
    <w:rsid w:val="005C17EA"/>
    <w:rsid w:val="005C4CB1"/>
    <w:rsid w:val="005C5369"/>
    <w:rsid w:val="005D09CB"/>
    <w:rsid w:val="005D2C50"/>
    <w:rsid w:val="005D652E"/>
    <w:rsid w:val="005D6E19"/>
    <w:rsid w:val="005D7D11"/>
    <w:rsid w:val="005E430D"/>
    <w:rsid w:val="005E458A"/>
    <w:rsid w:val="005E72E5"/>
    <w:rsid w:val="005F1131"/>
    <w:rsid w:val="0060200F"/>
    <w:rsid w:val="00604207"/>
    <w:rsid w:val="006119FC"/>
    <w:rsid w:val="006146D1"/>
    <w:rsid w:val="00620727"/>
    <w:rsid w:val="006218C6"/>
    <w:rsid w:val="00622354"/>
    <w:rsid w:val="0063016D"/>
    <w:rsid w:val="0063031D"/>
    <w:rsid w:val="00630D44"/>
    <w:rsid w:val="006314C8"/>
    <w:rsid w:val="006314F1"/>
    <w:rsid w:val="006345A2"/>
    <w:rsid w:val="00635094"/>
    <w:rsid w:val="00635F15"/>
    <w:rsid w:val="00636122"/>
    <w:rsid w:val="00641FB7"/>
    <w:rsid w:val="006473DD"/>
    <w:rsid w:val="00651073"/>
    <w:rsid w:val="006513BA"/>
    <w:rsid w:val="0065156E"/>
    <w:rsid w:val="0065390A"/>
    <w:rsid w:val="006562B7"/>
    <w:rsid w:val="00657D1D"/>
    <w:rsid w:val="00661146"/>
    <w:rsid w:val="00663A30"/>
    <w:rsid w:val="00664294"/>
    <w:rsid w:val="00664D50"/>
    <w:rsid w:val="00665C3E"/>
    <w:rsid w:val="00666C21"/>
    <w:rsid w:val="0066787E"/>
    <w:rsid w:val="0067131B"/>
    <w:rsid w:val="0067195A"/>
    <w:rsid w:val="0067198E"/>
    <w:rsid w:val="00674000"/>
    <w:rsid w:val="0067476B"/>
    <w:rsid w:val="00684795"/>
    <w:rsid w:val="00684EDD"/>
    <w:rsid w:val="00684F5F"/>
    <w:rsid w:val="00687274"/>
    <w:rsid w:val="0069049B"/>
    <w:rsid w:val="006922BA"/>
    <w:rsid w:val="00695AD5"/>
    <w:rsid w:val="006A1B96"/>
    <w:rsid w:val="006A441A"/>
    <w:rsid w:val="006A4C59"/>
    <w:rsid w:val="006A6E06"/>
    <w:rsid w:val="006B0562"/>
    <w:rsid w:val="006B080E"/>
    <w:rsid w:val="006B0DE7"/>
    <w:rsid w:val="006B337A"/>
    <w:rsid w:val="006B40E4"/>
    <w:rsid w:val="006B4823"/>
    <w:rsid w:val="006B4CFB"/>
    <w:rsid w:val="006B4EE2"/>
    <w:rsid w:val="006B661E"/>
    <w:rsid w:val="006B6EBB"/>
    <w:rsid w:val="006C44FC"/>
    <w:rsid w:val="006C4AA8"/>
    <w:rsid w:val="006D2A2F"/>
    <w:rsid w:val="006D5846"/>
    <w:rsid w:val="006D673C"/>
    <w:rsid w:val="006E277C"/>
    <w:rsid w:val="006E7F87"/>
    <w:rsid w:val="006F3498"/>
    <w:rsid w:val="006F3548"/>
    <w:rsid w:val="006F3A14"/>
    <w:rsid w:val="006F49F9"/>
    <w:rsid w:val="006F547E"/>
    <w:rsid w:val="00700AB0"/>
    <w:rsid w:val="007025E2"/>
    <w:rsid w:val="00702EBC"/>
    <w:rsid w:val="0070623F"/>
    <w:rsid w:val="00706F24"/>
    <w:rsid w:val="007075B6"/>
    <w:rsid w:val="00710755"/>
    <w:rsid w:val="00711AF6"/>
    <w:rsid w:val="0071410B"/>
    <w:rsid w:val="00723ED0"/>
    <w:rsid w:val="00724AD0"/>
    <w:rsid w:val="00724F37"/>
    <w:rsid w:val="00726D6A"/>
    <w:rsid w:val="0073068B"/>
    <w:rsid w:val="007328D4"/>
    <w:rsid w:val="0073501B"/>
    <w:rsid w:val="00735A2D"/>
    <w:rsid w:val="0073794D"/>
    <w:rsid w:val="00740621"/>
    <w:rsid w:val="00742457"/>
    <w:rsid w:val="00742BEF"/>
    <w:rsid w:val="00744D27"/>
    <w:rsid w:val="00750B61"/>
    <w:rsid w:val="007516EE"/>
    <w:rsid w:val="007568A0"/>
    <w:rsid w:val="00757CE0"/>
    <w:rsid w:val="00757FBE"/>
    <w:rsid w:val="0076015E"/>
    <w:rsid w:val="00761053"/>
    <w:rsid w:val="00761600"/>
    <w:rsid w:val="007617FD"/>
    <w:rsid w:val="00761BBF"/>
    <w:rsid w:val="007626EA"/>
    <w:rsid w:val="0076596E"/>
    <w:rsid w:val="00766876"/>
    <w:rsid w:val="00766D62"/>
    <w:rsid w:val="0076704B"/>
    <w:rsid w:val="00770D27"/>
    <w:rsid w:val="00773D0B"/>
    <w:rsid w:val="007742CE"/>
    <w:rsid w:val="00776117"/>
    <w:rsid w:val="007767F3"/>
    <w:rsid w:val="00777824"/>
    <w:rsid w:val="00782CF4"/>
    <w:rsid w:val="0078442B"/>
    <w:rsid w:val="00785769"/>
    <w:rsid w:val="007861FF"/>
    <w:rsid w:val="007874E9"/>
    <w:rsid w:val="00787742"/>
    <w:rsid w:val="007A2D77"/>
    <w:rsid w:val="007A30AB"/>
    <w:rsid w:val="007A5BAA"/>
    <w:rsid w:val="007A7B45"/>
    <w:rsid w:val="007B3298"/>
    <w:rsid w:val="007B337C"/>
    <w:rsid w:val="007B7255"/>
    <w:rsid w:val="007C06D0"/>
    <w:rsid w:val="007C0A2A"/>
    <w:rsid w:val="007C0EF0"/>
    <w:rsid w:val="007C44DD"/>
    <w:rsid w:val="007C6E3F"/>
    <w:rsid w:val="007D05D2"/>
    <w:rsid w:val="007D1409"/>
    <w:rsid w:val="007D2237"/>
    <w:rsid w:val="007D55FB"/>
    <w:rsid w:val="007E0010"/>
    <w:rsid w:val="007E0CDB"/>
    <w:rsid w:val="007E0E41"/>
    <w:rsid w:val="007E6F54"/>
    <w:rsid w:val="007F5C0C"/>
    <w:rsid w:val="008017D8"/>
    <w:rsid w:val="0080222F"/>
    <w:rsid w:val="00802279"/>
    <w:rsid w:val="00802667"/>
    <w:rsid w:val="00803910"/>
    <w:rsid w:val="00803E71"/>
    <w:rsid w:val="00803FC8"/>
    <w:rsid w:val="0080405F"/>
    <w:rsid w:val="00806A45"/>
    <w:rsid w:val="00806D9B"/>
    <w:rsid w:val="00810752"/>
    <w:rsid w:val="00811A56"/>
    <w:rsid w:val="00811A64"/>
    <w:rsid w:val="0081740F"/>
    <w:rsid w:val="008174DE"/>
    <w:rsid w:val="008178B8"/>
    <w:rsid w:val="00817AE3"/>
    <w:rsid w:val="008206FA"/>
    <w:rsid w:val="00820D43"/>
    <w:rsid w:val="00821BF6"/>
    <w:rsid w:val="0082304C"/>
    <w:rsid w:val="00823BB7"/>
    <w:rsid w:val="008243C5"/>
    <w:rsid w:val="00824FE9"/>
    <w:rsid w:val="00825DC5"/>
    <w:rsid w:val="00826C54"/>
    <w:rsid w:val="0083076E"/>
    <w:rsid w:val="00834C2E"/>
    <w:rsid w:val="008351FC"/>
    <w:rsid w:val="008360ED"/>
    <w:rsid w:val="008361DC"/>
    <w:rsid w:val="0083665E"/>
    <w:rsid w:val="00841109"/>
    <w:rsid w:val="00841789"/>
    <w:rsid w:val="00841F8E"/>
    <w:rsid w:val="008467A9"/>
    <w:rsid w:val="00846E0E"/>
    <w:rsid w:val="00851970"/>
    <w:rsid w:val="00852082"/>
    <w:rsid w:val="00852EF0"/>
    <w:rsid w:val="00852F6E"/>
    <w:rsid w:val="008533A8"/>
    <w:rsid w:val="008560EC"/>
    <w:rsid w:val="008572BA"/>
    <w:rsid w:val="0086043F"/>
    <w:rsid w:val="00860621"/>
    <w:rsid w:val="0086259C"/>
    <w:rsid w:val="008626A1"/>
    <w:rsid w:val="0086270A"/>
    <w:rsid w:val="0086385A"/>
    <w:rsid w:val="00864172"/>
    <w:rsid w:val="00867673"/>
    <w:rsid w:val="0087228E"/>
    <w:rsid w:val="00872325"/>
    <w:rsid w:val="008730F7"/>
    <w:rsid w:val="0087330B"/>
    <w:rsid w:val="008753EA"/>
    <w:rsid w:val="0087777A"/>
    <w:rsid w:val="00877E3E"/>
    <w:rsid w:val="00883BF8"/>
    <w:rsid w:val="00884C19"/>
    <w:rsid w:val="00885C3E"/>
    <w:rsid w:val="0088682A"/>
    <w:rsid w:val="00892A7C"/>
    <w:rsid w:val="00892AC1"/>
    <w:rsid w:val="008940E7"/>
    <w:rsid w:val="008B1F87"/>
    <w:rsid w:val="008B3412"/>
    <w:rsid w:val="008B3764"/>
    <w:rsid w:val="008B50C9"/>
    <w:rsid w:val="008B67FB"/>
    <w:rsid w:val="008B7105"/>
    <w:rsid w:val="008B7D5F"/>
    <w:rsid w:val="008C0B5F"/>
    <w:rsid w:val="008C2F88"/>
    <w:rsid w:val="008C3231"/>
    <w:rsid w:val="008C5D55"/>
    <w:rsid w:val="008C5F5B"/>
    <w:rsid w:val="008C6017"/>
    <w:rsid w:val="008C6EA5"/>
    <w:rsid w:val="008D0569"/>
    <w:rsid w:val="008D5264"/>
    <w:rsid w:val="008D54E2"/>
    <w:rsid w:val="008D6B3B"/>
    <w:rsid w:val="008D6E33"/>
    <w:rsid w:val="008E4B16"/>
    <w:rsid w:val="008E5BFF"/>
    <w:rsid w:val="008E5FD0"/>
    <w:rsid w:val="008E646D"/>
    <w:rsid w:val="008E6603"/>
    <w:rsid w:val="008E70BD"/>
    <w:rsid w:val="008E78B1"/>
    <w:rsid w:val="008F507C"/>
    <w:rsid w:val="008F5B53"/>
    <w:rsid w:val="008F6EFA"/>
    <w:rsid w:val="008F7DE5"/>
    <w:rsid w:val="009002EA"/>
    <w:rsid w:val="00900D34"/>
    <w:rsid w:val="009011C1"/>
    <w:rsid w:val="00901889"/>
    <w:rsid w:val="0090311A"/>
    <w:rsid w:val="0090536F"/>
    <w:rsid w:val="009063E9"/>
    <w:rsid w:val="00906648"/>
    <w:rsid w:val="00906C8B"/>
    <w:rsid w:val="0090760C"/>
    <w:rsid w:val="00907917"/>
    <w:rsid w:val="00910501"/>
    <w:rsid w:val="0091120A"/>
    <w:rsid w:val="00911416"/>
    <w:rsid w:val="009143B5"/>
    <w:rsid w:val="00915AFD"/>
    <w:rsid w:val="0092158C"/>
    <w:rsid w:val="0092204E"/>
    <w:rsid w:val="00932D97"/>
    <w:rsid w:val="00936AFB"/>
    <w:rsid w:val="00940BAE"/>
    <w:rsid w:val="00944AF0"/>
    <w:rsid w:val="00951C6C"/>
    <w:rsid w:val="00953BF3"/>
    <w:rsid w:val="009547AC"/>
    <w:rsid w:val="00954A6B"/>
    <w:rsid w:val="00954C7B"/>
    <w:rsid w:val="00957DDE"/>
    <w:rsid w:val="0096129B"/>
    <w:rsid w:val="009612B5"/>
    <w:rsid w:val="00961D9C"/>
    <w:rsid w:val="009622F2"/>
    <w:rsid w:val="009636BB"/>
    <w:rsid w:val="009665D4"/>
    <w:rsid w:val="009700C5"/>
    <w:rsid w:val="00973064"/>
    <w:rsid w:val="009745B4"/>
    <w:rsid w:val="00977816"/>
    <w:rsid w:val="00980216"/>
    <w:rsid w:val="00982677"/>
    <w:rsid w:val="00983201"/>
    <w:rsid w:val="0098398C"/>
    <w:rsid w:val="00983E38"/>
    <w:rsid w:val="009843FD"/>
    <w:rsid w:val="00984CD0"/>
    <w:rsid w:val="00986048"/>
    <w:rsid w:val="00992655"/>
    <w:rsid w:val="00992CA3"/>
    <w:rsid w:val="00994983"/>
    <w:rsid w:val="00995CB5"/>
    <w:rsid w:val="009A35DD"/>
    <w:rsid w:val="009A4AB3"/>
    <w:rsid w:val="009A79F6"/>
    <w:rsid w:val="009B0EB6"/>
    <w:rsid w:val="009B3D4A"/>
    <w:rsid w:val="009B4071"/>
    <w:rsid w:val="009B42BE"/>
    <w:rsid w:val="009B4D61"/>
    <w:rsid w:val="009B781A"/>
    <w:rsid w:val="009C1071"/>
    <w:rsid w:val="009C2305"/>
    <w:rsid w:val="009C2545"/>
    <w:rsid w:val="009C2E15"/>
    <w:rsid w:val="009C4835"/>
    <w:rsid w:val="009C60C5"/>
    <w:rsid w:val="009D0468"/>
    <w:rsid w:val="009D3FE5"/>
    <w:rsid w:val="009D45E1"/>
    <w:rsid w:val="009D4F62"/>
    <w:rsid w:val="009D7E7A"/>
    <w:rsid w:val="009E1035"/>
    <w:rsid w:val="009E4858"/>
    <w:rsid w:val="009E4F39"/>
    <w:rsid w:val="009E562A"/>
    <w:rsid w:val="009E64A8"/>
    <w:rsid w:val="009F2B71"/>
    <w:rsid w:val="009F3E67"/>
    <w:rsid w:val="009F4BFB"/>
    <w:rsid w:val="009F50A8"/>
    <w:rsid w:val="00A01527"/>
    <w:rsid w:val="00A01A07"/>
    <w:rsid w:val="00A01C3D"/>
    <w:rsid w:val="00A063D8"/>
    <w:rsid w:val="00A06E22"/>
    <w:rsid w:val="00A1324B"/>
    <w:rsid w:val="00A136FA"/>
    <w:rsid w:val="00A143B1"/>
    <w:rsid w:val="00A20A84"/>
    <w:rsid w:val="00A276E4"/>
    <w:rsid w:val="00A279EF"/>
    <w:rsid w:val="00A31D34"/>
    <w:rsid w:val="00A31DBB"/>
    <w:rsid w:val="00A34728"/>
    <w:rsid w:val="00A43DC9"/>
    <w:rsid w:val="00A45CBA"/>
    <w:rsid w:val="00A4766C"/>
    <w:rsid w:val="00A47D46"/>
    <w:rsid w:val="00A5139C"/>
    <w:rsid w:val="00A53129"/>
    <w:rsid w:val="00A53666"/>
    <w:rsid w:val="00A537A6"/>
    <w:rsid w:val="00A5516A"/>
    <w:rsid w:val="00A55CE3"/>
    <w:rsid w:val="00A564DC"/>
    <w:rsid w:val="00A56A60"/>
    <w:rsid w:val="00A60552"/>
    <w:rsid w:val="00A64CF6"/>
    <w:rsid w:val="00A705D2"/>
    <w:rsid w:val="00A7093D"/>
    <w:rsid w:val="00A71EE5"/>
    <w:rsid w:val="00A758B5"/>
    <w:rsid w:val="00A75EE5"/>
    <w:rsid w:val="00A76569"/>
    <w:rsid w:val="00A778A7"/>
    <w:rsid w:val="00A77DF4"/>
    <w:rsid w:val="00A810C6"/>
    <w:rsid w:val="00A84D5E"/>
    <w:rsid w:val="00A87F6F"/>
    <w:rsid w:val="00A907C3"/>
    <w:rsid w:val="00A9081F"/>
    <w:rsid w:val="00A929AC"/>
    <w:rsid w:val="00A92B0F"/>
    <w:rsid w:val="00A95241"/>
    <w:rsid w:val="00AA1A70"/>
    <w:rsid w:val="00AA4794"/>
    <w:rsid w:val="00AA62A4"/>
    <w:rsid w:val="00AA6A8F"/>
    <w:rsid w:val="00AB2BA6"/>
    <w:rsid w:val="00AC31B7"/>
    <w:rsid w:val="00AC3798"/>
    <w:rsid w:val="00AD06A1"/>
    <w:rsid w:val="00AD0811"/>
    <w:rsid w:val="00AD20B7"/>
    <w:rsid w:val="00AD3367"/>
    <w:rsid w:val="00AD4EC1"/>
    <w:rsid w:val="00AD5D82"/>
    <w:rsid w:val="00AD769D"/>
    <w:rsid w:val="00AE2024"/>
    <w:rsid w:val="00AE23CD"/>
    <w:rsid w:val="00AE4EC3"/>
    <w:rsid w:val="00AE5721"/>
    <w:rsid w:val="00AE6213"/>
    <w:rsid w:val="00AF0570"/>
    <w:rsid w:val="00AF4160"/>
    <w:rsid w:val="00AF7198"/>
    <w:rsid w:val="00AF7BC6"/>
    <w:rsid w:val="00B00C32"/>
    <w:rsid w:val="00B03675"/>
    <w:rsid w:val="00B04FEC"/>
    <w:rsid w:val="00B06221"/>
    <w:rsid w:val="00B06E5F"/>
    <w:rsid w:val="00B2193A"/>
    <w:rsid w:val="00B23202"/>
    <w:rsid w:val="00B25C55"/>
    <w:rsid w:val="00B265D3"/>
    <w:rsid w:val="00B27E2D"/>
    <w:rsid w:val="00B3441D"/>
    <w:rsid w:val="00B346A2"/>
    <w:rsid w:val="00B36CFA"/>
    <w:rsid w:val="00B41B1A"/>
    <w:rsid w:val="00B426BF"/>
    <w:rsid w:val="00B42BBA"/>
    <w:rsid w:val="00B53A60"/>
    <w:rsid w:val="00B557FE"/>
    <w:rsid w:val="00B57AEA"/>
    <w:rsid w:val="00B61E89"/>
    <w:rsid w:val="00B62E4A"/>
    <w:rsid w:val="00B64E61"/>
    <w:rsid w:val="00B704F7"/>
    <w:rsid w:val="00B71FE2"/>
    <w:rsid w:val="00B7219A"/>
    <w:rsid w:val="00B7322A"/>
    <w:rsid w:val="00B746A9"/>
    <w:rsid w:val="00B810E5"/>
    <w:rsid w:val="00B819CC"/>
    <w:rsid w:val="00B82C76"/>
    <w:rsid w:val="00B83A12"/>
    <w:rsid w:val="00B84250"/>
    <w:rsid w:val="00B843F6"/>
    <w:rsid w:val="00B8497F"/>
    <w:rsid w:val="00B85A69"/>
    <w:rsid w:val="00B86162"/>
    <w:rsid w:val="00B93B6C"/>
    <w:rsid w:val="00B95C3C"/>
    <w:rsid w:val="00B96C33"/>
    <w:rsid w:val="00BA0D3A"/>
    <w:rsid w:val="00BA344C"/>
    <w:rsid w:val="00BA3941"/>
    <w:rsid w:val="00BA4082"/>
    <w:rsid w:val="00BA674E"/>
    <w:rsid w:val="00BB1BCF"/>
    <w:rsid w:val="00BB41D5"/>
    <w:rsid w:val="00BB67E8"/>
    <w:rsid w:val="00BB7640"/>
    <w:rsid w:val="00BC1934"/>
    <w:rsid w:val="00BC2F05"/>
    <w:rsid w:val="00BC3EAC"/>
    <w:rsid w:val="00BC6A04"/>
    <w:rsid w:val="00BC795C"/>
    <w:rsid w:val="00BD0CC7"/>
    <w:rsid w:val="00BD1F59"/>
    <w:rsid w:val="00BD3709"/>
    <w:rsid w:val="00BD463C"/>
    <w:rsid w:val="00BD5CD4"/>
    <w:rsid w:val="00BD6BB4"/>
    <w:rsid w:val="00BD7D6F"/>
    <w:rsid w:val="00BE3F8C"/>
    <w:rsid w:val="00BE5892"/>
    <w:rsid w:val="00BF3C0D"/>
    <w:rsid w:val="00BF3F9E"/>
    <w:rsid w:val="00BF4CFE"/>
    <w:rsid w:val="00BF52A3"/>
    <w:rsid w:val="00BF77F4"/>
    <w:rsid w:val="00C00ACA"/>
    <w:rsid w:val="00C028DB"/>
    <w:rsid w:val="00C0366A"/>
    <w:rsid w:val="00C05289"/>
    <w:rsid w:val="00C0586E"/>
    <w:rsid w:val="00C07A21"/>
    <w:rsid w:val="00C1051F"/>
    <w:rsid w:val="00C156E5"/>
    <w:rsid w:val="00C217F2"/>
    <w:rsid w:val="00C21A8B"/>
    <w:rsid w:val="00C24FD8"/>
    <w:rsid w:val="00C25D96"/>
    <w:rsid w:val="00C2750F"/>
    <w:rsid w:val="00C314FF"/>
    <w:rsid w:val="00C35BBA"/>
    <w:rsid w:val="00C40137"/>
    <w:rsid w:val="00C42215"/>
    <w:rsid w:val="00C422E9"/>
    <w:rsid w:val="00C45394"/>
    <w:rsid w:val="00C470B6"/>
    <w:rsid w:val="00C471D9"/>
    <w:rsid w:val="00C52895"/>
    <w:rsid w:val="00C54907"/>
    <w:rsid w:val="00C54F7C"/>
    <w:rsid w:val="00C55BBA"/>
    <w:rsid w:val="00C60980"/>
    <w:rsid w:val="00C60AFB"/>
    <w:rsid w:val="00C61067"/>
    <w:rsid w:val="00C61546"/>
    <w:rsid w:val="00C63215"/>
    <w:rsid w:val="00C657A4"/>
    <w:rsid w:val="00C661DF"/>
    <w:rsid w:val="00C66302"/>
    <w:rsid w:val="00C669D2"/>
    <w:rsid w:val="00C672D9"/>
    <w:rsid w:val="00C711D2"/>
    <w:rsid w:val="00C715F0"/>
    <w:rsid w:val="00C72DF5"/>
    <w:rsid w:val="00C75C71"/>
    <w:rsid w:val="00C76534"/>
    <w:rsid w:val="00C774DA"/>
    <w:rsid w:val="00C80186"/>
    <w:rsid w:val="00C8290C"/>
    <w:rsid w:val="00C82E2D"/>
    <w:rsid w:val="00C86A01"/>
    <w:rsid w:val="00C91254"/>
    <w:rsid w:val="00C940CA"/>
    <w:rsid w:val="00C9443A"/>
    <w:rsid w:val="00CA1F2B"/>
    <w:rsid w:val="00CA43B8"/>
    <w:rsid w:val="00CA4D96"/>
    <w:rsid w:val="00CA6ECA"/>
    <w:rsid w:val="00CB4591"/>
    <w:rsid w:val="00CB6786"/>
    <w:rsid w:val="00CB7485"/>
    <w:rsid w:val="00CC0078"/>
    <w:rsid w:val="00CC094A"/>
    <w:rsid w:val="00CC46DB"/>
    <w:rsid w:val="00CC5F76"/>
    <w:rsid w:val="00CD2B94"/>
    <w:rsid w:val="00CD46AF"/>
    <w:rsid w:val="00CD47EE"/>
    <w:rsid w:val="00CD530E"/>
    <w:rsid w:val="00CD638D"/>
    <w:rsid w:val="00CD6D4C"/>
    <w:rsid w:val="00CD77AD"/>
    <w:rsid w:val="00CD7AF2"/>
    <w:rsid w:val="00CE0883"/>
    <w:rsid w:val="00CE19D5"/>
    <w:rsid w:val="00CE4ADA"/>
    <w:rsid w:val="00CE5698"/>
    <w:rsid w:val="00CE5985"/>
    <w:rsid w:val="00CE7F0B"/>
    <w:rsid w:val="00CF18FC"/>
    <w:rsid w:val="00CF5077"/>
    <w:rsid w:val="00CF6EDB"/>
    <w:rsid w:val="00CF7494"/>
    <w:rsid w:val="00CF7F6D"/>
    <w:rsid w:val="00D00B0B"/>
    <w:rsid w:val="00D03AFF"/>
    <w:rsid w:val="00D04395"/>
    <w:rsid w:val="00D04CC0"/>
    <w:rsid w:val="00D054B6"/>
    <w:rsid w:val="00D05CE5"/>
    <w:rsid w:val="00D106F0"/>
    <w:rsid w:val="00D10ECB"/>
    <w:rsid w:val="00D11141"/>
    <w:rsid w:val="00D14FA8"/>
    <w:rsid w:val="00D22F56"/>
    <w:rsid w:val="00D255BC"/>
    <w:rsid w:val="00D27B2B"/>
    <w:rsid w:val="00D27D3B"/>
    <w:rsid w:val="00D304FE"/>
    <w:rsid w:val="00D3263C"/>
    <w:rsid w:val="00D3456F"/>
    <w:rsid w:val="00D37FC5"/>
    <w:rsid w:val="00D40263"/>
    <w:rsid w:val="00D41924"/>
    <w:rsid w:val="00D42AD6"/>
    <w:rsid w:val="00D43285"/>
    <w:rsid w:val="00D43F54"/>
    <w:rsid w:val="00D44F3D"/>
    <w:rsid w:val="00D454F5"/>
    <w:rsid w:val="00D461F5"/>
    <w:rsid w:val="00D50F5B"/>
    <w:rsid w:val="00D523B6"/>
    <w:rsid w:val="00D5377F"/>
    <w:rsid w:val="00D55026"/>
    <w:rsid w:val="00D550E1"/>
    <w:rsid w:val="00D555AE"/>
    <w:rsid w:val="00D555D1"/>
    <w:rsid w:val="00D5791A"/>
    <w:rsid w:val="00D614CE"/>
    <w:rsid w:val="00D63B0D"/>
    <w:rsid w:val="00D729B1"/>
    <w:rsid w:val="00D744C9"/>
    <w:rsid w:val="00D74CB7"/>
    <w:rsid w:val="00D77434"/>
    <w:rsid w:val="00D80BE4"/>
    <w:rsid w:val="00D82A70"/>
    <w:rsid w:val="00D84899"/>
    <w:rsid w:val="00D928CE"/>
    <w:rsid w:val="00D9368F"/>
    <w:rsid w:val="00D938EE"/>
    <w:rsid w:val="00D93FFC"/>
    <w:rsid w:val="00D94431"/>
    <w:rsid w:val="00D96087"/>
    <w:rsid w:val="00DA2DAF"/>
    <w:rsid w:val="00DA2F30"/>
    <w:rsid w:val="00DB5E37"/>
    <w:rsid w:val="00DC14B2"/>
    <w:rsid w:val="00DC3EA6"/>
    <w:rsid w:val="00DC446C"/>
    <w:rsid w:val="00DC498B"/>
    <w:rsid w:val="00DC7150"/>
    <w:rsid w:val="00DD69BD"/>
    <w:rsid w:val="00DD6F38"/>
    <w:rsid w:val="00DD78B2"/>
    <w:rsid w:val="00DE0AE3"/>
    <w:rsid w:val="00DE13DF"/>
    <w:rsid w:val="00DE5020"/>
    <w:rsid w:val="00DE5D1E"/>
    <w:rsid w:val="00DE5EF9"/>
    <w:rsid w:val="00DE6876"/>
    <w:rsid w:val="00DE70E2"/>
    <w:rsid w:val="00DE747D"/>
    <w:rsid w:val="00DF3AB0"/>
    <w:rsid w:val="00DF7022"/>
    <w:rsid w:val="00DF7124"/>
    <w:rsid w:val="00DF737E"/>
    <w:rsid w:val="00E018BF"/>
    <w:rsid w:val="00E043FD"/>
    <w:rsid w:val="00E05756"/>
    <w:rsid w:val="00E0597C"/>
    <w:rsid w:val="00E064AE"/>
    <w:rsid w:val="00E06CF6"/>
    <w:rsid w:val="00E10B4B"/>
    <w:rsid w:val="00E10C89"/>
    <w:rsid w:val="00E116D6"/>
    <w:rsid w:val="00E11D19"/>
    <w:rsid w:val="00E1201D"/>
    <w:rsid w:val="00E125FC"/>
    <w:rsid w:val="00E17D51"/>
    <w:rsid w:val="00E22F27"/>
    <w:rsid w:val="00E251F9"/>
    <w:rsid w:val="00E26007"/>
    <w:rsid w:val="00E26624"/>
    <w:rsid w:val="00E316BE"/>
    <w:rsid w:val="00E31847"/>
    <w:rsid w:val="00E31956"/>
    <w:rsid w:val="00E33056"/>
    <w:rsid w:val="00E3529E"/>
    <w:rsid w:val="00E35312"/>
    <w:rsid w:val="00E35963"/>
    <w:rsid w:val="00E3655E"/>
    <w:rsid w:val="00E4032C"/>
    <w:rsid w:val="00E435EC"/>
    <w:rsid w:val="00E4494E"/>
    <w:rsid w:val="00E4627E"/>
    <w:rsid w:val="00E47D3D"/>
    <w:rsid w:val="00E47D68"/>
    <w:rsid w:val="00E5124E"/>
    <w:rsid w:val="00E51989"/>
    <w:rsid w:val="00E51DFC"/>
    <w:rsid w:val="00E5243B"/>
    <w:rsid w:val="00E61A21"/>
    <w:rsid w:val="00E672DC"/>
    <w:rsid w:val="00E71F15"/>
    <w:rsid w:val="00E7200D"/>
    <w:rsid w:val="00E72B00"/>
    <w:rsid w:val="00E75648"/>
    <w:rsid w:val="00E75D3F"/>
    <w:rsid w:val="00E81588"/>
    <w:rsid w:val="00E83A1C"/>
    <w:rsid w:val="00E848FA"/>
    <w:rsid w:val="00E853AE"/>
    <w:rsid w:val="00E85AE1"/>
    <w:rsid w:val="00E87D80"/>
    <w:rsid w:val="00E87FA0"/>
    <w:rsid w:val="00E91209"/>
    <w:rsid w:val="00E91734"/>
    <w:rsid w:val="00E92ACB"/>
    <w:rsid w:val="00E93FF1"/>
    <w:rsid w:val="00E971BE"/>
    <w:rsid w:val="00EA004B"/>
    <w:rsid w:val="00EA0B7D"/>
    <w:rsid w:val="00EA4940"/>
    <w:rsid w:val="00EB1DC0"/>
    <w:rsid w:val="00EB50AB"/>
    <w:rsid w:val="00EB6597"/>
    <w:rsid w:val="00EB7065"/>
    <w:rsid w:val="00EC4B14"/>
    <w:rsid w:val="00EC6A25"/>
    <w:rsid w:val="00ED028E"/>
    <w:rsid w:val="00ED1DAE"/>
    <w:rsid w:val="00ED4CC7"/>
    <w:rsid w:val="00ED4E62"/>
    <w:rsid w:val="00ED5FDF"/>
    <w:rsid w:val="00ED71B5"/>
    <w:rsid w:val="00EE0BF2"/>
    <w:rsid w:val="00EE1727"/>
    <w:rsid w:val="00EE643C"/>
    <w:rsid w:val="00EF6009"/>
    <w:rsid w:val="00F0483F"/>
    <w:rsid w:val="00F236BC"/>
    <w:rsid w:val="00F267B9"/>
    <w:rsid w:val="00F27E59"/>
    <w:rsid w:val="00F32B32"/>
    <w:rsid w:val="00F348FF"/>
    <w:rsid w:val="00F352F7"/>
    <w:rsid w:val="00F4391D"/>
    <w:rsid w:val="00F47448"/>
    <w:rsid w:val="00F5023F"/>
    <w:rsid w:val="00F50DFE"/>
    <w:rsid w:val="00F525A5"/>
    <w:rsid w:val="00F54565"/>
    <w:rsid w:val="00F54F67"/>
    <w:rsid w:val="00F56EA5"/>
    <w:rsid w:val="00F56F65"/>
    <w:rsid w:val="00F61FE4"/>
    <w:rsid w:val="00F629D3"/>
    <w:rsid w:val="00F63AC1"/>
    <w:rsid w:val="00F65C86"/>
    <w:rsid w:val="00F663CE"/>
    <w:rsid w:val="00F70DF3"/>
    <w:rsid w:val="00F7231C"/>
    <w:rsid w:val="00F750B6"/>
    <w:rsid w:val="00F762FA"/>
    <w:rsid w:val="00F826B2"/>
    <w:rsid w:val="00F839F4"/>
    <w:rsid w:val="00F83C6F"/>
    <w:rsid w:val="00F8585B"/>
    <w:rsid w:val="00F85FB0"/>
    <w:rsid w:val="00F8614A"/>
    <w:rsid w:val="00F87115"/>
    <w:rsid w:val="00F901B5"/>
    <w:rsid w:val="00F91B58"/>
    <w:rsid w:val="00F931A9"/>
    <w:rsid w:val="00F9456F"/>
    <w:rsid w:val="00F96812"/>
    <w:rsid w:val="00F96FF6"/>
    <w:rsid w:val="00FA0F79"/>
    <w:rsid w:val="00FA25D8"/>
    <w:rsid w:val="00FA28FF"/>
    <w:rsid w:val="00FA356B"/>
    <w:rsid w:val="00FA5000"/>
    <w:rsid w:val="00FB053A"/>
    <w:rsid w:val="00FB16C1"/>
    <w:rsid w:val="00FB1D6E"/>
    <w:rsid w:val="00FB33C0"/>
    <w:rsid w:val="00FB49EF"/>
    <w:rsid w:val="00FB4C10"/>
    <w:rsid w:val="00FB6985"/>
    <w:rsid w:val="00FB7E53"/>
    <w:rsid w:val="00FB7F5F"/>
    <w:rsid w:val="00FC1A13"/>
    <w:rsid w:val="00FC4FE4"/>
    <w:rsid w:val="00FD0549"/>
    <w:rsid w:val="00FD3573"/>
    <w:rsid w:val="00FD5FCB"/>
    <w:rsid w:val="00FD646C"/>
    <w:rsid w:val="00FD68C0"/>
    <w:rsid w:val="00FD7FEE"/>
    <w:rsid w:val="00FE15DA"/>
    <w:rsid w:val="00FE2B32"/>
    <w:rsid w:val="00FE5B1E"/>
    <w:rsid w:val="00FE6470"/>
    <w:rsid w:val="00FF26BA"/>
    <w:rsid w:val="00FF44D4"/>
    <w:rsid w:val="00FF46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B4A49FC6-9A2D-4C30-87C4-38934A17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78A"/>
    <w:pPr>
      <w:widowControl w:val="0"/>
    </w:pPr>
    <w:rPr>
      <w:sz w:val="24"/>
    </w:rPr>
  </w:style>
  <w:style w:type="paragraph" w:styleId="Heading1">
    <w:name w:val="heading 1"/>
    <w:basedOn w:val="Normal"/>
    <w:next w:val="Normal"/>
    <w:qFormat/>
    <w:rsid w:val="0031778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778A"/>
    <w:pPr>
      <w:keepNext/>
      <w:jc w:val="both"/>
      <w:outlineLvl w:val="1"/>
    </w:pPr>
    <w:rPr>
      <w:rFonts w:ascii="Arial" w:hAnsi="Arial" w:cs="Arial"/>
      <w:b/>
      <w:color w:val="FF0000"/>
      <w:sz w:val="20"/>
    </w:rPr>
  </w:style>
  <w:style w:type="paragraph" w:styleId="Heading3">
    <w:name w:val="heading 3"/>
    <w:basedOn w:val="Normal"/>
    <w:next w:val="Normal"/>
    <w:qFormat/>
    <w:rsid w:val="0031778A"/>
    <w:pPr>
      <w:keepNext/>
      <w:shd w:val="pct15" w:color="auto" w:fill="FFFFFF"/>
      <w:jc w:val="center"/>
      <w:outlineLvl w:val="2"/>
    </w:pPr>
    <w:rPr>
      <w:rFonts w:ascii="Arial" w:hAnsi="Arial"/>
      <w:bCs/>
    </w:rPr>
  </w:style>
  <w:style w:type="paragraph" w:styleId="Heading4">
    <w:name w:val="heading 4"/>
    <w:basedOn w:val="Normal"/>
    <w:next w:val="Normal"/>
    <w:qFormat/>
    <w:rsid w:val="0031778A"/>
    <w:pPr>
      <w:keepNext/>
      <w:jc w:val="center"/>
      <w:outlineLvl w:val="3"/>
    </w:pPr>
    <w:rPr>
      <w:sz w:val="28"/>
    </w:rPr>
  </w:style>
  <w:style w:type="paragraph" w:styleId="Heading5">
    <w:name w:val="heading 5"/>
    <w:basedOn w:val="Normal"/>
    <w:next w:val="Normal"/>
    <w:qFormat/>
    <w:rsid w:val="0031778A"/>
    <w:pPr>
      <w:keepNext/>
      <w:ind w:firstLine="720"/>
      <w:jc w:val="right"/>
      <w:outlineLvl w:val="4"/>
    </w:pPr>
    <w:rPr>
      <w:b/>
      <w:i/>
      <w:sz w:val="20"/>
    </w:rPr>
  </w:style>
  <w:style w:type="paragraph" w:styleId="Heading6">
    <w:name w:val="heading 6"/>
    <w:basedOn w:val="Normal"/>
    <w:next w:val="Normal"/>
    <w:qFormat/>
    <w:rsid w:val="0031778A"/>
    <w:pPr>
      <w:keepNext/>
      <w:jc w:val="both"/>
      <w:outlineLvl w:val="5"/>
    </w:pPr>
    <w:rPr>
      <w:b/>
      <w:color w:val="FF0000"/>
      <w:sz w:val="18"/>
    </w:rPr>
  </w:style>
  <w:style w:type="paragraph" w:styleId="Heading7">
    <w:name w:val="heading 7"/>
    <w:basedOn w:val="Normal"/>
    <w:next w:val="Normal"/>
    <w:qFormat/>
    <w:rsid w:val="0031778A"/>
    <w:pPr>
      <w:keepNext/>
      <w:widowControl/>
      <w:jc w:val="both"/>
      <w:outlineLvl w:val="6"/>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778A"/>
    <w:pPr>
      <w:widowControl/>
    </w:pPr>
    <w:rPr>
      <w:rFonts w:ascii="Univers" w:hAnsi="Univers"/>
      <w:sz w:val="22"/>
    </w:rPr>
  </w:style>
  <w:style w:type="paragraph" w:styleId="BodyText2">
    <w:name w:val="Body Text 2"/>
    <w:basedOn w:val="Normal"/>
    <w:link w:val="BodyText2Char"/>
    <w:rsid w:val="0031778A"/>
    <w:pPr>
      <w:widowControl/>
    </w:pPr>
    <w:rPr>
      <w:rFonts w:ascii="Arial" w:hAnsi="Arial"/>
      <w:sz w:val="20"/>
    </w:rPr>
  </w:style>
  <w:style w:type="paragraph" w:styleId="BodyText3">
    <w:name w:val="Body Text 3"/>
    <w:basedOn w:val="Normal"/>
    <w:rsid w:val="0031778A"/>
    <w:pPr>
      <w:jc w:val="both"/>
    </w:pPr>
    <w:rPr>
      <w:szCs w:val="24"/>
    </w:rPr>
  </w:style>
  <w:style w:type="paragraph" w:styleId="Header">
    <w:name w:val="header"/>
    <w:basedOn w:val="Normal"/>
    <w:link w:val="HeaderChar"/>
    <w:rsid w:val="0031778A"/>
    <w:pPr>
      <w:tabs>
        <w:tab w:val="center" w:pos="4320"/>
        <w:tab w:val="right" w:pos="8640"/>
      </w:tabs>
    </w:pPr>
  </w:style>
  <w:style w:type="paragraph" w:styleId="Footer">
    <w:name w:val="footer"/>
    <w:basedOn w:val="Normal"/>
    <w:link w:val="FooterChar"/>
    <w:uiPriority w:val="99"/>
    <w:rsid w:val="0031778A"/>
    <w:pPr>
      <w:tabs>
        <w:tab w:val="center" w:pos="4320"/>
        <w:tab w:val="right" w:pos="8640"/>
      </w:tabs>
    </w:pPr>
  </w:style>
  <w:style w:type="paragraph" w:styleId="FootnoteText">
    <w:name w:val="footnote text"/>
    <w:basedOn w:val="Normal"/>
    <w:link w:val="FootnoteTextChar"/>
    <w:rsid w:val="0031778A"/>
    <w:pPr>
      <w:widowControl/>
    </w:pPr>
    <w:rPr>
      <w:sz w:val="20"/>
    </w:rPr>
  </w:style>
  <w:style w:type="character" w:styleId="CommentReference">
    <w:name w:val="annotation reference"/>
    <w:basedOn w:val="DefaultParagraphFont"/>
    <w:semiHidden/>
    <w:rsid w:val="0031778A"/>
    <w:rPr>
      <w:sz w:val="16"/>
      <w:szCs w:val="16"/>
    </w:rPr>
  </w:style>
  <w:style w:type="character" w:styleId="FootnoteReference">
    <w:name w:val="footnote reference"/>
    <w:basedOn w:val="DefaultParagraphFont"/>
    <w:semiHidden/>
    <w:rsid w:val="0031778A"/>
    <w:rPr>
      <w:vertAlign w:val="superscript"/>
    </w:rPr>
  </w:style>
  <w:style w:type="character" w:styleId="PageNumber">
    <w:name w:val="page number"/>
    <w:basedOn w:val="DefaultParagraphFont"/>
    <w:rsid w:val="0031778A"/>
  </w:style>
  <w:style w:type="paragraph" w:styleId="BodyTextIndent3">
    <w:name w:val="Body Text Indent 3"/>
    <w:basedOn w:val="Normal"/>
    <w:rsid w:val="0031778A"/>
    <w:pPr>
      <w:spacing w:after="120"/>
      <w:ind w:left="360"/>
    </w:pPr>
    <w:rPr>
      <w:sz w:val="16"/>
      <w:szCs w:val="16"/>
    </w:rPr>
  </w:style>
  <w:style w:type="paragraph" w:styleId="Title">
    <w:name w:val="Title"/>
    <w:basedOn w:val="Normal"/>
    <w:qFormat/>
    <w:rsid w:val="0031778A"/>
    <w:pPr>
      <w:widowControl/>
      <w:suppressAutoHyphens/>
      <w:jc w:val="center"/>
    </w:pPr>
    <w:rPr>
      <w:rFonts w:ascii="Arial" w:hAnsi="Arial" w:cs="Arial"/>
      <w:b/>
      <w:spacing w:val="-2"/>
      <w:sz w:val="22"/>
      <w:szCs w:val="22"/>
      <w:lang w:val="en-GB"/>
    </w:rPr>
  </w:style>
  <w:style w:type="character" w:styleId="Strong">
    <w:name w:val="Strong"/>
    <w:basedOn w:val="DefaultParagraphFont"/>
    <w:qFormat/>
    <w:rsid w:val="0031778A"/>
    <w:rPr>
      <w:b/>
      <w:bCs/>
    </w:rPr>
  </w:style>
  <w:style w:type="paragraph" w:styleId="HTMLPreformatted">
    <w:name w:val="HTML Preformatted"/>
    <w:basedOn w:val="Normal"/>
    <w:rsid w:val="003177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CommentText">
    <w:name w:val="annotation text"/>
    <w:basedOn w:val="Normal"/>
    <w:semiHidden/>
    <w:rsid w:val="0031778A"/>
    <w:rPr>
      <w:sz w:val="20"/>
    </w:rPr>
  </w:style>
  <w:style w:type="paragraph" w:styleId="BodyTextIndent">
    <w:name w:val="Body Text Indent"/>
    <w:basedOn w:val="Normal"/>
    <w:rsid w:val="0031778A"/>
    <w:pPr>
      <w:widowControl/>
      <w:ind w:left="120"/>
    </w:pPr>
    <w:rPr>
      <w:rFonts w:ascii="Arial" w:hAnsi="Arial" w:cs="Arial"/>
      <w:color w:val="FF0000"/>
      <w:sz w:val="20"/>
    </w:rPr>
  </w:style>
  <w:style w:type="paragraph" w:styleId="NormalWeb">
    <w:name w:val="Normal (Web)"/>
    <w:basedOn w:val="Normal"/>
    <w:rsid w:val="0031778A"/>
    <w:pPr>
      <w:widowControl/>
      <w:spacing w:before="100" w:after="100"/>
    </w:pPr>
    <w:rPr>
      <w:lang w:val="en-GB"/>
    </w:rPr>
  </w:style>
  <w:style w:type="paragraph" w:styleId="BodyTextIndent2">
    <w:name w:val="Body Text Indent 2"/>
    <w:basedOn w:val="Normal"/>
    <w:rsid w:val="0031778A"/>
    <w:pPr>
      <w:ind w:firstLine="720"/>
      <w:jc w:val="both"/>
    </w:pPr>
    <w:rPr>
      <w:rFonts w:cs="Arial"/>
      <w:sz w:val="20"/>
    </w:rPr>
  </w:style>
  <w:style w:type="paragraph" w:styleId="BalloonText">
    <w:name w:val="Balloon Text"/>
    <w:basedOn w:val="Normal"/>
    <w:semiHidden/>
    <w:rsid w:val="00E26624"/>
    <w:rPr>
      <w:rFonts w:ascii="Tahoma" w:hAnsi="Tahoma" w:cs="Tahoma"/>
      <w:sz w:val="16"/>
      <w:szCs w:val="16"/>
    </w:rPr>
  </w:style>
  <w:style w:type="paragraph" w:customStyle="1" w:styleId="Armenianstyle">
    <w:name w:val="Armenian style"/>
    <w:basedOn w:val="Normal"/>
    <w:rsid w:val="00FA5000"/>
    <w:pPr>
      <w:widowControl/>
      <w:jc w:val="center"/>
    </w:pPr>
    <w:rPr>
      <w:rFonts w:ascii="Times Armenian" w:hAnsi="Times Armenian"/>
      <w:b/>
      <w:bCs/>
      <w:sz w:val="32"/>
      <w:szCs w:val="32"/>
      <w:lang w:val="ru-RU" w:eastAsia="ru-RU"/>
    </w:rPr>
  </w:style>
  <w:style w:type="paragraph" w:styleId="ListParagraph">
    <w:name w:val="List Paragraph"/>
    <w:basedOn w:val="Normal"/>
    <w:uiPriority w:val="34"/>
    <w:qFormat/>
    <w:rsid w:val="00761600"/>
    <w:pPr>
      <w:widowControl/>
      <w:ind w:left="720"/>
      <w:contextualSpacing/>
    </w:pPr>
    <w:rPr>
      <w:szCs w:val="24"/>
    </w:rPr>
  </w:style>
  <w:style w:type="character" w:customStyle="1" w:styleId="FootnoteTextChar">
    <w:name w:val="Footnote Text Char"/>
    <w:basedOn w:val="DefaultParagraphFont"/>
    <w:link w:val="FootnoteText"/>
    <w:rsid w:val="00C45394"/>
  </w:style>
  <w:style w:type="character" w:customStyle="1" w:styleId="plaintext1">
    <w:name w:val="plaintext1"/>
    <w:basedOn w:val="DefaultParagraphFont"/>
    <w:rsid w:val="005A5ADC"/>
    <w:rPr>
      <w:color w:val="333333"/>
    </w:rPr>
  </w:style>
  <w:style w:type="character" w:customStyle="1" w:styleId="FooterChar">
    <w:name w:val="Footer Char"/>
    <w:basedOn w:val="DefaultParagraphFont"/>
    <w:link w:val="Footer"/>
    <w:uiPriority w:val="99"/>
    <w:rsid w:val="0063016D"/>
    <w:rPr>
      <w:sz w:val="24"/>
    </w:rPr>
  </w:style>
  <w:style w:type="character" w:customStyle="1" w:styleId="BodyText2Char">
    <w:name w:val="Body Text 2 Char"/>
    <w:basedOn w:val="DefaultParagraphFont"/>
    <w:link w:val="BodyText2"/>
    <w:rsid w:val="0004488C"/>
    <w:rPr>
      <w:rFonts w:ascii="Arial" w:hAnsi="Arial"/>
    </w:rPr>
  </w:style>
  <w:style w:type="paragraph" w:customStyle="1" w:styleId="Memoheading">
    <w:name w:val="Memo heading"/>
    <w:basedOn w:val="Normal"/>
    <w:rsid w:val="008B3764"/>
  </w:style>
  <w:style w:type="character" w:styleId="Hyperlink">
    <w:name w:val="Hyperlink"/>
    <w:basedOn w:val="DefaultParagraphFont"/>
    <w:uiPriority w:val="99"/>
    <w:rsid w:val="003808D2"/>
    <w:rPr>
      <w:color w:val="0000FF" w:themeColor="hyperlink"/>
      <w:u w:val="single"/>
    </w:rPr>
  </w:style>
  <w:style w:type="character" w:customStyle="1" w:styleId="HeaderChar">
    <w:name w:val="Header Char"/>
    <w:basedOn w:val="DefaultParagraphFont"/>
    <w:link w:val="Header"/>
    <w:rsid w:val="005B384E"/>
    <w:rPr>
      <w:sz w:val="24"/>
    </w:rPr>
  </w:style>
  <w:style w:type="character" w:customStyle="1" w:styleId="apple-converted-space">
    <w:name w:val="apple-converted-space"/>
    <w:rsid w:val="009002EA"/>
  </w:style>
  <w:style w:type="character" w:styleId="Emphasis">
    <w:name w:val="Emphasis"/>
    <w:uiPriority w:val="20"/>
    <w:qFormat/>
    <w:rsid w:val="009002EA"/>
    <w:rPr>
      <w:i/>
      <w:iCs/>
    </w:rPr>
  </w:style>
  <w:style w:type="table" w:styleId="TableGrid">
    <w:name w:val="Table Grid"/>
    <w:basedOn w:val="TableNormal"/>
    <w:uiPriority w:val="59"/>
    <w:rsid w:val="008940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C6E3F"/>
    <w:pPr>
      <w:widowControl/>
      <w:spacing w:after="200"/>
    </w:pPr>
    <w:rPr>
      <w:rFonts w:asciiTheme="minorHAnsi" w:eastAsiaTheme="minorHAnsi" w:hAnsiTheme="minorHAnsi" w:cstheme="minorBidi"/>
      <w:i/>
      <w:iCs/>
      <w:color w:val="1F497D" w:themeColor="text2"/>
      <w:sz w:val="18"/>
      <w:szCs w:val="18"/>
      <w:lang w:val="hy-AM"/>
    </w:rPr>
  </w:style>
  <w:style w:type="table" w:customStyle="1" w:styleId="LightShading-Accent11">
    <w:name w:val="Light Shading - Accent 11"/>
    <w:basedOn w:val="TableNormal"/>
    <w:uiPriority w:val="60"/>
    <w:rsid w:val="007C6E3F"/>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7C6E3F"/>
    <w:rPr>
      <w:rFonts w:ascii="Calibri" w:hAnsi="Calibri"/>
    </w:rPr>
  </w:style>
  <w:style w:type="character" w:customStyle="1" w:styleId="NoSpacingChar">
    <w:name w:val="No Spacing Char"/>
    <w:link w:val="NoSpacing"/>
    <w:uiPriority w:val="1"/>
    <w:locked/>
    <w:rsid w:val="007C6E3F"/>
    <w:rPr>
      <w:rFonts w:ascii="Calibri" w:hAnsi="Calibri"/>
    </w:rPr>
  </w:style>
  <w:style w:type="table" w:styleId="LightGrid">
    <w:name w:val="Light Grid"/>
    <w:basedOn w:val="TableNormal"/>
    <w:uiPriority w:val="62"/>
    <w:rsid w:val="007C6E3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ubtleEmphasis">
    <w:name w:val="Subtle Emphasis"/>
    <w:uiPriority w:val="19"/>
    <w:qFormat/>
    <w:rsid w:val="004F11A3"/>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6806">
      <w:bodyDiv w:val="1"/>
      <w:marLeft w:val="0"/>
      <w:marRight w:val="0"/>
      <w:marTop w:val="0"/>
      <w:marBottom w:val="0"/>
      <w:divBdr>
        <w:top w:val="none" w:sz="0" w:space="0" w:color="auto"/>
        <w:left w:val="none" w:sz="0" w:space="0" w:color="auto"/>
        <w:bottom w:val="none" w:sz="0" w:space="0" w:color="auto"/>
        <w:right w:val="none" w:sz="0" w:space="0" w:color="auto"/>
      </w:divBdr>
    </w:div>
    <w:div w:id="38671123">
      <w:bodyDiv w:val="1"/>
      <w:marLeft w:val="0"/>
      <w:marRight w:val="0"/>
      <w:marTop w:val="0"/>
      <w:marBottom w:val="0"/>
      <w:divBdr>
        <w:top w:val="none" w:sz="0" w:space="0" w:color="auto"/>
        <w:left w:val="none" w:sz="0" w:space="0" w:color="auto"/>
        <w:bottom w:val="none" w:sz="0" w:space="0" w:color="auto"/>
        <w:right w:val="none" w:sz="0" w:space="0" w:color="auto"/>
      </w:divBdr>
    </w:div>
    <w:div w:id="608124030">
      <w:bodyDiv w:val="1"/>
      <w:marLeft w:val="0"/>
      <w:marRight w:val="0"/>
      <w:marTop w:val="0"/>
      <w:marBottom w:val="0"/>
      <w:divBdr>
        <w:top w:val="none" w:sz="0" w:space="0" w:color="auto"/>
        <w:left w:val="none" w:sz="0" w:space="0" w:color="auto"/>
        <w:bottom w:val="none" w:sz="0" w:space="0" w:color="auto"/>
        <w:right w:val="none" w:sz="0" w:space="0" w:color="auto"/>
      </w:divBdr>
    </w:div>
    <w:div w:id="730228690">
      <w:bodyDiv w:val="1"/>
      <w:marLeft w:val="0"/>
      <w:marRight w:val="0"/>
      <w:marTop w:val="0"/>
      <w:marBottom w:val="0"/>
      <w:divBdr>
        <w:top w:val="none" w:sz="0" w:space="0" w:color="auto"/>
        <w:left w:val="none" w:sz="0" w:space="0" w:color="auto"/>
        <w:bottom w:val="none" w:sz="0" w:space="0" w:color="auto"/>
        <w:right w:val="none" w:sz="0" w:space="0" w:color="auto"/>
      </w:divBdr>
      <w:divsChild>
        <w:div w:id="297297868">
          <w:marLeft w:val="547"/>
          <w:marRight w:val="0"/>
          <w:marTop w:val="86"/>
          <w:marBottom w:val="0"/>
          <w:divBdr>
            <w:top w:val="none" w:sz="0" w:space="0" w:color="auto"/>
            <w:left w:val="none" w:sz="0" w:space="0" w:color="auto"/>
            <w:bottom w:val="none" w:sz="0" w:space="0" w:color="auto"/>
            <w:right w:val="none" w:sz="0" w:space="0" w:color="auto"/>
          </w:divBdr>
        </w:div>
      </w:divsChild>
    </w:div>
    <w:div w:id="1055078854">
      <w:bodyDiv w:val="1"/>
      <w:marLeft w:val="0"/>
      <w:marRight w:val="0"/>
      <w:marTop w:val="0"/>
      <w:marBottom w:val="0"/>
      <w:divBdr>
        <w:top w:val="none" w:sz="0" w:space="0" w:color="auto"/>
        <w:left w:val="none" w:sz="0" w:space="0" w:color="auto"/>
        <w:bottom w:val="none" w:sz="0" w:space="0" w:color="auto"/>
        <w:right w:val="none" w:sz="0" w:space="0" w:color="auto"/>
      </w:divBdr>
    </w:div>
    <w:div w:id="1208377768">
      <w:bodyDiv w:val="1"/>
      <w:marLeft w:val="0"/>
      <w:marRight w:val="0"/>
      <w:marTop w:val="0"/>
      <w:marBottom w:val="0"/>
      <w:divBdr>
        <w:top w:val="none" w:sz="0" w:space="0" w:color="auto"/>
        <w:left w:val="none" w:sz="0" w:space="0" w:color="auto"/>
        <w:bottom w:val="none" w:sz="0" w:space="0" w:color="auto"/>
        <w:right w:val="none" w:sz="0" w:space="0" w:color="auto"/>
      </w:divBdr>
    </w:div>
    <w:div w:id="1538473064">
      <w:bodyDiv w:val="1"/>
      <w:marLeft w:val="0"/>
      <w:marRight w:val="0"/>
      <w:marTop w:val="0"/>
      <w:marBottom w:val="0"/>
      <w:divBdr>
        <w:top w:val="none" w:sz="0" w:space="0" w:color="auto"/>
        <w:left w:val="none" w:sz="0" w:space="0" w:color="auto"/>
        <w:bottom w:val="none" w:sz="0" w:space="0" w:color="auto"/>
        <w:right w:val="none" w:sz="0" w:space="0" w:color="auto"/>
      </w:divBdr>
      <w:divsChild>
        <w:div w:id="557324078">
          <w:marLeft w:val="547"/>
          <w:marRight w:val="0"/>
          <w:marTop w:val="86"/>
          <w:marBottom w:val="0"/>
          <w:divBdr>
            <w:top w:val="none" w:sz="0" w:space="0" w:color="auto"/>
            <w:left w:val="none" w:sz="0" w:space="0" w:color="auto"/>
            <w:bottom w:val="none" w:sz="0" w:space="0" w:color="auto"/>
            <w:right w:val="none" w:sz="0" w:space="0" w:color="auto"/>
          </w:divBdr>
        </w:div>
        <w:div w:id="633370587">
          <w:marLeft w:val="547"/>
          <w:marRight w:val="0"/>
          <w:marTop w:val="86"/>
          <w:marBottom w:val="0"/>
          <w:divBdr>
            <w:top w:val="none" w:sz="0" w:space="0" w:color="auto"/>
            <w:left w:val="none" w:sz="0" w:space="0" w:color="auto"/>
            <w:bottom w:val="none" w:sz="0" w:space="0" w:color="auto"/>
            <w:right w:val="none" w:sz="0" w:space="0" w:color="auto"/>
          </w:divBdr>
        </w:div>
        <w:div w:id="666324186">
          <w:marLeft w:val="547"/>
          <w:marRight w:val="0"/>
          <w:marTop w:val="86"/>
          <w:marBottom w:val="0"/>
          <w:divBdr>
            <w:top w:val="none" w:sz="0" w:space="0" w:color="auto"/>
            <w:left w:val="none" w:sz="0" w:space="0" w:color="auto"/>
            <w:bottom w:val="none" w:sz="0" w:space="0" w:color="auto"/>
            <w:right w:val="none" w:sz="0" w:space="0" w:color="auto"/>
          </w:divBdr>
        </w:div>
        <w:div w:id="1005399748">
          <w:marLeft w:val="547"/>
          <w:marRight w:val="0"/>
          <w:marTop w:val="86"/>
          <w:marBottom w:val="0"/>
          <w:divBdr>
            <w:top w:val="none" w:sz="0" w:space="0" w:color="auto"/>
            <w:left w:val="none" w:sz="0" w:space="0" w:color="auto"/>
            <w:bottom w:val="none" w:sz="0" w:space="0" w:color="auto"/>
            <w:right w:val="none" w:sz="0" w:space="0" w:color="auto"/>
          </w:divBdr>
        </w:div>
      </w:divsChild>
    </w:div>
    <w:div w:id="154929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2018-02-26T06:00:00+00:00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1184</Value>
      <Value>1</Value>
      <Value>763</Value>
    </TaxCatchAll>
    <c4e2ab2cc9354bbf9064eeb465a566ea xmlns="1ed4137b-41b2-488b-8250-6d369ec27664">
      <Terms xmlns="http://schemas.microsoft.com/office/infopath/2007/PartnerControls"/>
    </c4e2ab2cc9354bbf9064eeb465a566ea>
    <UndpProjectNo xmlns="1ed4137b-41b2-488b-8250-6d369ec27664">00081906</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ARM</TermName>
          <TermId xmlns="http://schemas.microsoft.com/office/infopath/2007/PartnerControls">b2f7d7d5-ec96-41b3-a66f-70e04c9d0355</TermId>
        </TermInfo>
      </Terms>
    </gc6531b704974d528487414686b72f6f>
    <_dlc_DocId xmlns="f1161f5b-24a3-4c2d-bc81-44cb9325e8ee">ATLASPDC-4-79653</_dlc_DocId>
    <_dlc_DocIdUrl xmlns="f1161f5b-24a3-4c2d-bc81-44cb9325e8ee">
      <Url>https://info.undp.org/docs/pdc/_layouts/DocIdRedir.aspx?ID=ATLASPDC-4-79653</Url>
      <Description>ATLASPDC-4-79653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15DFD75-B295-46D8-A396-C15646916C66}">
  <ds:schemaRefs>
    <ds:schemaRef ds:uri="http://schemas.openxmlformats.org/officeDocument/2006/bibliography"/>
  </ds:schemaRefs>
</ds:datastoreItem>
</file>

<file path=customXml/itemProps2.xml><?xml version="1.0" encoding="utf-8"?>
<ds:datastoreItem xmlns:ds="http://schemas.openxmlformats.org/officeDocument/2006/customXml" ds:itemID="{A1E93FDF-620F-40C0-9BCC-18BF1EA73253}"/>
</file>

<file path=customXml/itemProps3.xml><?xml version="1.0" encoding="utf-8"?>
<ds:datastoreItem xmlns:ds="http://schemas.openxmlformats.org/officeDocument/2006/customXml" ds:itemID="{EECCBD97-BCC7-4F00-A011-BA0E3AAFFB95}"/>
</file>

<file path=customXml/itemProps4.xml><?xml version="1.0" encoding="utf-8"?>
<ds:datastoreItem xmlns:ds="http://schemas.openxmlformats.org/officeDocument/2006/customXml" ds:itemID="{E4BD208B-86C3-45E5-9B7E-1AD374457F8A}"/>
</file>

<file path=customXml/itemProps5.xml><?xml version="1.0" encoding="utf-8"?>
<ds:datastoreItem xmlns:ds="http://schemas.openxmlformats.org/officeDocument/2006/customXml" ds:itemID="{998A143A-6EA2-4ACC-B22A-EBF8986465BE}"/>
</file>

<file path=customXml/itemProps6.xml><?xml version="1.0" encoding="utf-8"?>
<ds:datastoreItem xmlns:ds="http://schemas.openxmlformats.org/officeDocument/2006/customXml" ds:itemID="{DA994531-6D05-47E7-BBB2-E54F675F64C1}"/>
</file>

<file path=docProps/app.xml><?xml version="1.0" encoding="utf-8"?>
<Properties xmlns="http://schemas.openxmlformats.org/officeDocument/2006/extended-properties" xmlns:vt="http://schemas.openxmlformats.org/officeDocument/2006/docPropsVTypes">
  <Template>Normal.dotm</Template>
  <TotalTime>1</TotalTime>
  <Pages>10</Pages>
  <Words>2727</Words>
  <Characters>15546</Characters>
  <Application>Microsoft Office Word</Application>
  <DocSecurity>0</DocSecurity>
  <Lines>129</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Country:</vt:lpstr>
      <vt:lpstr>Country:</vt:lpstr>
    </vt:vector>
  </TitlesOfParts>
  <Company>UNDP</Company>
  <LinksUpToDate>false</LinksUpToDate>
  <CharactersWithSpaces>18237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Progress Report 2016</dc:title>
  <dc:subject/>
  <dc:creator/>
  <cp:keywords/>
  <dc:description/>
  <cp:lastModifiedBy>Anna Gyurjyan</cp:lastModifiedBy>
  <cp:revision>2</cp:revision>
  <cp:lastPrinted>2013-07-18T07:03:00Z</cp:lastPrinted>
  <dcterms:created xsi:type="dcterms:W3CDTF">2016-12-05T07:22:00Z</dcterms:created>
  <dcterms:modified xsi:type="dcterms:W3CDTF">2016-12-05T07:22:00Z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1184;#ARM|b2f7d7d5-ec96-41b3-a66f-70e04c9d0355</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cb17df81-7bdb-4406-b19c-35d385e29d05</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